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58215">
      <w:pPr>
        <w:spacing w:line="360" w:lineRule="exact"/>
        <w:jc w:val="center"/>
        <w:rPr>
          <w:rFonts w:hint="eastAsia"/>
          <w:b/>
          <w:bCs/>
          <w:sz w:val="32"/>
          <w:szCs w:val="36"/>
        </w:rPr>
      </w:pPr>
      <w:r>
        <w:rPr>
          <w:rFonts w:hint="eastAsia"/>
          <w:b/>
          <w:bCs/>
          <w:sz w:val="32"/>
          <w:szCs w:val="36"/>
        </w:rPr>
        <w:t>卡友支付服务有限公司</w:t>
      </w:r>
    </w:p>
    <w:p w14:paraId="353C337A">
      <w:pPr>
        <w:spacing w:line="360" w:lineRule="exact"/>
        <w:jc w:val="center"/>
        <w:rPr>
          <w:rFonts w:hint="eastAsia"/>
          <w:b/>
          <w:bCs/>
          <w:sz w:val="32"/>
          <w:szCs w:val="36"/>
        </w:rPr>
      </w:pPr>
      <w:r>
        <w:rPr>
          <w:rFonts w:hint="eastAsia"/>
          <w:b/>
          <w:bCs/>
          <w:sz w:val="32"/>
          <w:szCs w:val="36"/>
        </w:rPr>
        <w:t>特约商户银行卡及条码支付业务受理服务协议</w:t>
      </w:r>
    </w:p>
    <w:p w14:paraId="618F8C9C">
      <w:pPr>
        <w:jc w:val="center"/>
        <w:rPr>
          <w:rFonts w:hint="eastAsia"/>
          <w:b/>
          <w:bCs/>
          <w:sz w:val="32"/>
          <w:szCs w:val="36"/>
        </w:rPr>
      </w:pPr>
    </w:p>
    <w:p w14:paraId="5B122CD7">
      <w:pPr>
        <w:spacing w:line="240" w:lineRule="exact"/>
        <w:rPr>
          <w:rFonts w:hint="eastAsia"/>
          <w:b/>
          <w:bCs/>
          <w:sz w:val="21"/>
          <w:szCs w:val="22"/>
        </w:rPr>
      </w:pPr>
      <w:r>
        <w:rPr>
          <w:rFonts w:hint="eastAsia"/>
          <w:b/>
          <w:bCs/>
          <w:sz w:val="21"/>
          <w:szCs w:val="22"/>
        </w:rPr>
        <w:t>收单机构名称（甲方）：卡友支付服务有限公司</w:t>
      </w:r>
    </w:p>
    <w:p w14:paraId="634F0AB9">
      <w:pPr>
        <w:spacing w:line="240" w:lineRule="exact"/>
        <w:rPr>
          <w:rFonts w:hint="eastAsia"/>
          <w:b/>
          <w:bCs/>
          <w:sz w:val="21"/>
          <w:szCs w:val="22"/>
        </w:rPr>
      </w:pPr>
      <w:r>
        <w:rPr>
          <w:rFonts w:hint="eastAsia"/>
          <w:b/>
          <w:bCs/>
          <w:sz w:val="21"/>
          <w:szCs w:val="22"/>
        </w:rPr>
        <w:t>特约商户名称（乙方）：</w:t>
      </w:r>
    </w:p>
    <w:p w14:paraId="6A5B3425">
      <w:pPr>
        <w:spacing w:line="240" w:lineRule="exact"/>
        <w:ind w:firstLine="1051" w:firstLineChars="500"/>
        <w:rPr>
          <w:rFonts w:hint="eastAsia"/>
          <w:b/>
          <w:bCs/>
          <w:sz w:val="21"/>
          <w:szCs w:val="22"/>
        </w:rPr>
      </w:pPr>
      <w:r>
        <w:rPr>
          <w:rFonts w:hint="eastAsia"/>
          <w:b/>
          <w:bCs/>
          <w:sz w:val="21"/>
          <w:szCs w:val="22"/>
        </w:rPr>
        <w:t>证件号码：</w:t>
      </w:r>
    </w:p>
    <w:p w14:paraId="47EC6095">
      <w:pPr>
        <w:spacing w:line="240" w:lineRule="exact"/>
        <w:ind w:firstLine="1051" w:firstLineChars="500"/>
        <w:rPr>
          <w:rFonts w:hint="eastAsia"/>
          <w:b/>
          <w:bCs/>
          <w:sz w:val="21"/>
          <w:szCs w:val="22"/>
          <w:u w:val="single"/>
        </w:rPr>
      </w:pPr>
      <w:r>
        <w:rPr>
          <w:rFonts w:hint="eastAsia"/>
          <w:b/>
          <w:bCs/>
          <w:sz w:val="21"/>
          <w:szCs w:val="22"/>
        </w:rPr>
        <w:t>法人姓名：</w:t>
      </w:r>
    </w:p>
    <w:p w14:paraId="5242189B">
      <w:pPr>
        <w:spacing w:line="240" w:lineRule="exact"/>
        <w:ind w:firstLine="630" w:firstLineChars="300"/>
        <w:rPr>
          <w:rFonts w:hint="eastAsia"/>
          <w:b/>
          <w:bCs/>
          <w:sz w:val="21"/>
          <w:szCs w:val="22"/>
          <w:u w:val="single"/>
        </w:rPr>
      </w:pPr>
      <w:r>
        <w:rPr>
          <w:rFonts w:hint="eastAsia"/>
          <w:b/>
          <w:bCs/>
          <w:sz w:val="21"/>
          <w:szCs w:val="22"/>
        </w:rPr>
        <w:t>法人证件号码：</w:t>
      </w:r>
    </w:p>
    <w:p w14:paraId="4CB6E267">
      <w:pPr>
        <w:spacing w:line="240" w:lineRule="exact"/>
        <w:ind w:firstLine="1051" w:firstLineChars="500"/>
        <w:rPr>
          <w:rFonts w:hint="eastAsia"/>
          <w:b/>
          <w:bCs/>
          <w:sz w:val="21"/>
          <w:szCs w:val="22"/>
        </w:rPr>
      </w:pPr>
      <w:r>
        <w:rPr>
          <w:rFonts w:hint="eastAsia"/>
          <w:b/>
          <w:bCs/>
          <w:sz w:val="21"/>
          <w:szCs w:val="22"/>
        </w:rPr>
        <w:t>商户简称：</w:t>
      </w:r>
    </w:p>
    <w:p w14:paraId="1F185912">
      <w:pPr>
        <w:ind w:firstLine="360" w:firstLineChars="200"/>
        <w:rPr>
          <w:rFonts w:hint="eastAsia"/>
          <w:sz w:val="18"/>
          <w:szCs w:val="20"/>
        </w:rPr>
      </w:pPr>
    </w:p>
    <w:p w14:paraId="041DBE3E">
      <w:pPr>
        <w:ind w:firstLine="360" w:firstLineChars="200"/>
        <w:rPr>
          <w:rFonts w:hint="eastAsia"/>
          <w:sz w:val="18"/>
          <w:szCs w:val="20"/>
        </w:rPr>
      </w:pPr>
      <w:r>
        <w:rPr>
          <w:sz w:val="18"/>
          <w:szCs w:val="20"/>
        </w:rPr>
        <w:t>甲方与乙方就受理银行卡收单</w:t>
      </w:r>
      <w:r>
        <w:rPr>
          <w:rFonts w:hint="eastAsia"/>
          <w:sz w:val="18"/>
          <w:szCs w:val="20"/>
        </w:rPr>
        <w:t>及条码支付</w:t>
      </w:r>
      <w:r>
        <w:rPr>
          <w:sz w:val="18"/>
          <w:szCs w:val="20"/>
        </w:rPr>
        <w:t>业务等相关事宜协商一致，达成以下协议。</w:t>
      </w:r>
    </w:p>
    <w:p w14:paraId="0417F491">
      <w:pPr>
        <w:ind w:firstLine="360" w:firstLineChars="200"/>
        <w:rPr>
          <w:rFonts w:hint="eastAsia"/>
          <w:b/>
          <w:bCs/>
          <w:sz w:val="18"/>
          <w:szCs w:val="20"/>
        </w:rPr>
      </w:pPr>
      <w:r>
        <w:rPr>
          <w:b/>
          <w:bCs/>
          <w:sz w:val="18"/>
          <w:szCs w:val="20"/>
        </w:rPr>
        <w:t>第一条服务内容与基本原则</w:t>
      </w:r>
    </w:p>
    <w:p w14:paraId="260E2051">
      <w:pPr>
        <w:spacing w:after="0"/>
        <w:ind w:firstLine="360" w:firstLineChars="200"/>
        <w:rPr>
          <w:rFonts w:hint="eastAsia"/>
          <w:sz w:val="18"/>
          <w:szCs w:val="20"/>
        </w:rPr>
      </w:pPr>
      <w:r>
        <w:rPr>
          <w:rFonts w:hint="eastAsia"/>
          <w:sz w:val="18"/>
          <w:szCs w:val="20"/>
        </w:rPr>
        <w:t>1、</w:t>
      </w:r>
      <w:r>
        <w:rPr>
          <w:sz w:val="18"/>
          <w:szCs w:val="20"/>
        </w:rPr>
        <w:t>本协议是以受理银行卡及条码支付业务为前提，以提供收单业务为内容，以明确操作细节为要点，经过友好协商的共同约定，就甲方为乙方提供银行卡收单及条码支付业务达成本协议。</w:t>
      </w:r>
    </w:p>
    <w:p w14:paraId="06FA7B67">
      <w:pPr>
        <w:spacing w:after="0"/>
        <w:ind w:firstLine="360" w:firstLineChars="200"/>
        <w:rPr>
          <w:rFonts w:hint="eastAsia"/>
          <w:sz w:val="18"/>
          <w:szCs w:val="20"/>
        </w:rPr>
      </w:pPr>
      <w:r>
        <w:rPr>
          <w:sz w:val="18"/>
          <w:szCs w:val="20"/>
        </w:rPr>
        <w:t>银行卡收单业务，是指甲方与特约商户/乙方签订银行卡受理协议，在乙方按约定受理银行卡并与持卡人达成交易后，为乙方提供交易资金结算服务的行为。</w:t>
      </w:r>
    </w:p>
    <w:p w14:paraId="525CC5D4">
      <w:pPr>
        <w:spacing w:after="0"/>
        <w:ind w:firstLine="360" w:firstLineChars="200"/>
        <w:rPr>
          <w:rFonts w:hint="eastAsia"/>
          <w:sz w:val="18"/>
          <w:szCs w:val="20"/>
        </w:rPr>
      </w:pPr>
      <w:r>
        <w:rPr>
          <w:sz w:val="18"/>
          <w:szCs w:val="20"/>
        </w:rPr>
        <w:t>本协议中提到的交易金额是指消费者通过</w:t>
      </w:r>
      <w:r>
        <w:rPr>
          <w:rFonts w:hint="eastAsia"/>
          <w:sz w:val="18"/>
          <w:szCs w:val="20"/>
        </w:rPr>
        <w:t>乙方</w:t>
      </w:r>
      <w:r>
        <w:rPr>
          <w:sz w:val="18"/>
          <w:szCs w:val="20"/>
        </w:rPr>
        <w:t>的支付受理终端发起交易，并由</w:t>
      </w:r>
      <w:r>
        <w:rPr>
          <w:rFonts w:hint="eastAsia"/>
          <w:sz w:val="18"/>
          <w:szCs w:val="20"/>
        </w:rPr>
        <w:t>乙方</w:t>
      </w:r>
      <w:r>
        <w:rPr>
          <w:sz w:val="18"/>
          <w:szCs w:val="20"/>
        </w:rPr>
        <w:t>委托</w:t>
      </w:r>
      <w:r>
        <w:rPr>
          <w:rFonts w:hint="eastAsia"/>
          <w:sz w:val="18"/>
          <w:szCs w:val="20"/>
        </w:rPr>
        <w:t>甲方</w:t>
      </w:r>
      <w:r>
        <w:rPr>
          <w:sz w:val="18"/>
          <w:szCs w:val="20"/>
        </w:rPr>
        <w:t>办理收单业务而产生的且由</w:t>
      </w:r>
      <w:r>
        <w:rPr>
          <w:rFonts w:hint="eastAsia"/>
          <w:sz w:val="18"/>
          <w:szCs w:val="20"/>
        </w:rPr>
        <w:t>甲方</w:t>
      </w:r>
      <w:r>
        <w:rPr>
          <w:sz w:val="18"/>
          <w:szCs w:val="20"/>
        </w:rPr>
        <w:t>实际收到的预收待付货币资金。</w:t>
      </w:r>
    </w:p>
    <w:p w14:paraId="4C1E44AF">
      <w:pPr>
        <w:pStyle w:val="9"/>
        <w:ind w:firstLine="360" w:firstLineChars="200"/>
        <w:rPr>
          <w:rFonts w:hint="eastAsia"/>
          <w:sz w:val="18"/>
          <w:szCs w:val="20"/>
        </w:rPr>
      </w:pPr>
      <w:r>
        <w:rPr>
          <w:sz w:val="18"/>
          <w:szCs w:val="20"/>
        </w:rPr>
        <w:t>受理终端，是指收单机构放置在特约商户处的，能够接受银行信息，具有通讯功能，并接受指令而完成金融交易信息和有关信息交换、完成支付交易的设备。包括：POS受理终端、扫码牌、扫码枪、扫码盒等。</w:t>
      </w:r>
    </w:p>
    <w:p w14:paraId="403DD247">
      <w:pPr>
        <w:pStyle w:val="9"/>
        <w:ind w:firstLine="360" w:firstLineChars="200"/>
        <w:rPr>
          <w:rFonts w:hint="eastAsia"/>
          <w:sz w:val="18"/>
          <w:szCs w:val="20"/>
        </w:rPr>
      </w:pPr>
      <w:r>
        <w:rPr>
          <w:sz w:val="18"/>
          <w:szCs w:val="20"/>
        </w:rPr>
        <w:t>2、本协议的确定和履行适用于国家有关法律法规以及职能机构的监管规定。同时，甲方有权视情况基于合理理由单方面限制/终止为乙方提供受理银行卡交易服务，直至终止本协议。</w:t>
      </w:r>
    </w:p>
    <w:p w14:paraId="1EB8CC6E">
      <w:pPr>
        <w:pStyle w:val="9"/>
        <w:ind w:firstLine="360" w:firstLineChars="200"/>
        <w:rPr>
          <w:rFonts w:hint="eastAsia"/>
          <w:sz w:val="18"/>
          <w:szCs w:val="20"/>
        </w:rPr>
      </w:pPr>
      <w:r>
        <w:rPr>
          <w:sz w:val="18"/>
          <w:szCs w:val="20"/>
        </w:rPr>
        <w:t>3、甲方有权拒绝乙方未按本协议约定及操作流程的任何交易，并对乙方故意或过失造成的经济损失保留完全追索权；乙方对可疑的用卡行为/卡片有拒绝受理的权利与义务。</w:t>
      </w:r>
    </w:p>
    <w:p w14:paraId="32875B3F">
      <w:pPr>
        <w:pStyle w:val="9"/>
        <w:ind w:firstLine="360" w:firstLineChars="200"/>
        <w:rPr>
          <w:rFonts w:hint="eastAsia"/>
          <w:sz w:val="18"/>
          <w:szCs w:val="20"/>
        </w:rPr>
      </w:pPr>
      <w:r>
        <w:rPr>
          <w:sz w:val="18"/>
          <w:szCs w:val="20"/>
        </w:rPr>
        <w:t>4、乙方与甲方在合作中无权擅自使用或转让甲方的商标、专利、技术秘密、技术许可、著作权作品等。违反前述约定给</w:t>
      </w:r>
      <w:r>
        <w:rPr>
          <w:rFonts w:hint="eastAsia"/>
          <w:sz w:val="18"/>
          <w:szCs w:val="20"/>
        </w:rPr>
        <w:t>甲</w:t>
      </w:r>
      <w:r>
        <w:rPr>
          <w:sz w:val="18"/>
          <w:szCs w:val="20"/>
        </w:rPr>
        <w:t>方造成经济、声誉等损失，责任方将承担相应的赔偿责任。</w:t>
      </w:r>
    </w:p>
    <w:p w14:paraId="0DC45E13">
      <w:pPr>
        <w:ind w:firstLine="360" w:firstLineChars="200"/>
        <w:rPr>
          <w:rFonts w:hint="eastAsia"/>
          <w:b/>
          <w:bCs/>
          <w:sz w:val="18"/>
          <w:szCs w:val="20"/>
        </w:rPr>
      </w:pPr>
    </w:p>
    <w:p w14:paraId="4159BEBE">
      <w:pPr>
        <w:ind w:firstLine="360" w:firstLineChars="200"/>
        <w:rPr>
          <w:rFonts w:hint="eastAsia"/>
          <w:sz w:val="18"/>
          <w:szCs w:val="20"/>
        </w:rPr>
      </w:pPr>
      <w:r>
        <w:rPr>
          <w:b/>
          <w:bCs/>
          <w:sz w:val="18"/>
          <w:szCs w:val="20"/>
        </w:rPr>
        <w:t>第二条甲方的权利与义务</w:t>
      </w:r>
    </w:p>
    <w:p w14:paraId="2AF74F93">
      <w:pPr>
        <w:pStyle w:val="9"/>
        <w:ind w:firstLine="360" w:firstLineChars="200"/>
        <w:rPr>
          <w:rFonts w:hint="eastAsia"/>
          <w:sz w:val="18"/>
          <w:szCs w:val="20"/>
        </w:rPr>
      </w:pPr>
      <w:r>
        <w:rPr>
          <w:rFonts w:hint="eastAsia"/>
          <w:sz w:val="18"/>
          <w:szCs w:val="20"/>
        </w:rPr>
        <w:t>1、</w:t>
      </w:r>
      <w:r>
        <w:rPr>
          <w:sz w:val="18"/>
          <w:szCs w:val="20"/>
        </w:rPr>
        <w:t>甲方或甲方合作的第三方向乙方提供支付服务受理终端，并及时进行受理终端的维护。</w:t>
      </w:r>
    </w:p>
    <w:p w14:paraId="6CB477FE">
      <w:pPr>
        <w:pStyle w:val="9"/>
        <w:ind w:firstLine="360" w:firstLineChars="200"/>
        <w:rPr>
          <w:rFonts w:hint="eastAsia"/>
          <w:sz w:val="18"/>
          <w:szCs w:val="20"/>
        </w:rPr>
      </w:pPr>
      <w:r>
        <w:rPr>
          <w:sz w:val="18"/>
          <w:szCs w:val="20"/>
        </w:rPr>
        <w:t>受理终端是指收单机构放置在特约商户处的，能够接受银行信息，具有通讯功能，并接受指令而完成交易信息和有关信息交换、完成支付交易的设备。包括：POS受理终端、扫码牌、扫码枪、扫码盒等。</w:t>
      </w:r>
    </w:p>
    <w:p w14:paraId="626C30F3">
      <w:pPr>
        <w:pStyle w:val="9"/>
        <w:ind w:firstLine="360" w:firstLineChars="200"/>
        <w:rPr>
          <w:rFonts w:hint="eastAsia"/>
          <w:sz w:val="18"/>
          <w:szCs w:val="20"/>
        </w:rPr>
      </w:pPr>
      <w:r>
        <w:rPr>
          <w:sz w:val="18"/>
          <w:szCs w:val="20"/>
        </w:rPr>
        <w:t>2、甲方向乙方提供业务培训、技术支持、业务咨询等方面的服务。</w:t>
      </w:r>
    </w:p>
    <w:p w14:paraId="6B9EC6D9">
      <w:pPr>
        <w:pStyle w:val="9"/>
        <w:ind w:firstLine="360" w:firstLineChars="200"/>
        <w:rPr>
          <w:rFonts w:hint="eastAsia"/>
          <w:sz w:val="18"/>
          <w:szCs w:val="20"/>
        </w:rPr>
      </w:pPr>
      <w:r>
        <w:rPr>
          <w:sz w:val="18"/>
          <w:szCs w:val="20"/>
        </w:rPr>
        <w:t>3、甲方负责处理交易投诉、查询、查复、差错处理及调账等，乙方予以配合。</w:t>
      </w:r>
    </w:p>
    <w:p w14:paraId="453F543D">
      <w:pPr>
        <w:pStyle w:val="9"/>
        <w:ind w:firstLine="360" w:firstLineChars="200"/>
        <w:rPr>
          <w:rFonts w:hint="eastAsia"/>
          <w:sz w:val="18"/>
          <w:szCs w:val="20"/>
        </w:rPr>
      </w:pPr>
      <w:r>
        <w:rPr>
          <w:sz w:val="18"/>
          <w:szCs w:val="20"/>
        </w:rPr>
        <w:t>4、甲方为乙方提供银行卡交易的资金结算服务，交易净金额结算周期见特约商户信息登记表。</w:t>
      </w:r>
    </w:p>
    <w:p w14:paraId="298F8719">
      <w:pPr>
        <w:pStyle w:val="9"/>
        <w:ind w:firstLine="360" w:firstLineChars="200"/>
        <w:rPr>
          <w:rFonts w:hint="eastAsia"/>
          <w:sz w:val="18"/>
          <w:szCs w:val="20"/>
        </w:rPr>
      </w:pPr>
      <w:r>
        <w:rPr>
          <w:sz w:val="18"/>
          <w:szCs w:val="20"/>
        </w:rPr>
        <w:t>5、甲方有权根据情况决定对支付产品的功能和服务进行改动和升级，并暂停向乙方提供支付服务，甲方提前告知乙方，并预告恢复日期。</w:t>
      </w:r>
    </w:p>
    <w:p w14:paraId="023E82E2">
      <w:pPr>
        <w:pStyle w:val="9"/>
        <w:ind w:firstLine="360" w:firstLineChars="200"/>
        <w:rPr>
          <w:rFonts w:hint="eastAsia"/>
          <w:sz w:val="18"/>
          <w:szCs w:val="20"/>
        </w:rPr>
      </w:pPr>
      <w:r>
        <w:rPr>
          <w:sz w:val="18"/>
          <w:szCs w:val="20"/>
        </w:rPr>
        <w:t>6、受理银行卡及条码支付业务的消费、退货等交易是乙方与持卡人或者机构之间的债权债务等形成的法律关系，与甲方无关，甲方仅为确定银行卡交易方式和交易流程并协助乙方实现交易的服务方，不承担甲乙双方约定之外的任何经济纠纷的责任。</w:t>
      </w:r>
    </w:p>
    <w:p w14:paraId="332FBF71">
      <w:pPr>
        <w:pStyle w:val="9"/>
        <w:ind w:firstLine="360" w:firstLineChars="200"/>
        <w:rPr>
          <w:rFonts w:hint="eastAsia"/>
          <w:sz w:val="18"/>
          <w:szCs w:val="20"/>
        </w:rPr>
      </w:pPr>
      <w:r>
        <w:rPr>
          <w:sz w:val="18"/>
          <w:szCs w:val="20"/>
        </w:rPr>
        <w:t>7、甲方对于乙方联机、脱机、手工传送的成功退货交易视为乙方不可撤销的委托付款，所产生的风险由乙方承担。</w:t>
      </w:r>
    </w:p>
    <w:p w14:paraId="49D01364">
      <w:pPr>
        <w:pStyle w:val="9"/>
        <w:ind w:firstLine="360" w:firstLineChars="200"/>
        <w:rPr>
          <w:rFonts w:hint="eastAsia"/>
          <w:sz w:val="18"/>
          <w:szCs w:val="20"/>
        </w:rPr>
      </w:pPr>
      <w:r>
        <w:rPr>
          <w:sz w:val="18"/>
          <w:szCs w:val="20"/>
        </w:rPr>
        <w:t>8、持卡人或发卡机构、清算机构对刷卡交易有异议要求甲方调单，甲方有权要求乙方在规定时限内提供证据并完成查复，并保留追究乙方承担责任的权利；持卡人或发卡机构、清算机构对刷卡交易有异议导致退单，甲方向发卡行请款或提出裁决时有权要求乙方在规定时限内提供证据并完成查复，并保留追究乙方承担责任的权利。</w:t>
      </w:r>
    </w:p>
    <w:p w14:paraId="4E84BCCB">
      <w:pPr>
        <w:pStyle w:val="9"/>
        <w:ind w:firstLine="360" w:firstLineChars="200"/>
        <w:rPr>
          <w:rFonts w:hint="eastAsia"/>
          <w:sz w:val="18"/>
          <w:szCs w:val="20"/>
        </w:rPr>
      </w:pPr>
      <w:r>
        <w:rPr>
          <w:sz w:val="18"/>
          <w:szCs w:val="20"/>
        </w:rPr>
        <w:t>9、在发生疑似风险交易（疑似风险交易的定义：发卡机构、清算机构通知甲方的可疑交易、甲方通过技术及其他手段判断的可疑交易以及通过可疑交易信息关联出的其他可疑交易，包括发现乙方的交易金额、时间、频率与乙方的经营范围、规模不相符等异常情形的、持卡人报案的交易）时，甲方有权采取暂时冻结结算交易款项、设置收款限额、暂停银行卡交易、收回受理终端、要求提供书面的交易情况说明等措施。</w:t>
      </w:r>
    </w:p>
    <w:p w14:paraId="554B8CF0">
      <w:pPr>
        <w:pStyle w:val="9"/>
        <w:ind w:firstLine="360" w:firstLineChars="200"/>
        <w:rPr>
          <w:rFonts w:hint="eastAsia"/>
          <w:sz w:val="18"/>
          <w:szCs w:val="20"/>
        </w:rPr>
      </w:pPr>
      <w:r>
        <w:rPr>
          <w:sz w:val="18"/>
          <w:szCs w:val="20"/>
        </w:rPr>
        <w:t>10、甲方有权根据乙方的风险评级确定巡检方式和频率。包括但不限于：现场巡检、釆集经营影像或照片、开展受理终端定位监测、登录乙方的经营网页查看经营内容、开展技术监测和大数据分析。</w:t>
      </w:r>
    </w:p>
    <w:p w14:paraId="4E6AC12F">
      <w:pPr>
        <w:pStyle w:val="9"/>
        <w:ind w:firstLine="360" w:firstLineChars="200"/>
        <w:rPr>
          <w:rFonts w:hint="eastAsia"/>
          <w:sz w:val="18"/>
          <w:szCs w:val="20"/>
        </w:rPr>
      </w:pPr>
      <w:r>
        <w:rPr>
          <w:sz w:val="18"/>
          <w:szCs w:val="20"/>
        </w:rPr>
        <w:t>11、甲方有权结合乙方的经营地址限定受理终端的使用地域范围。甲方有权对移动受理终端所处位置持续开展实时监测，并逐笔记录交易位置信息，对于无法监测位置或与商户经营地址不符的交易，暂停办理资金结算并立即核实；确认存在移机等违规行为的，甲方有权停止收单服务并收回受理终端。</w:t>
      </w:r>
    </w:p>
    <w:p w14:paraId="7081F46C">
      <w:pPr>
        <w:pStyle w:val="9"/>
        <w:ind w:firstLine="360" w:firstLineChars="200"/>
        <w:rPr>
          <w:rFonts w:hint="eastAsia"/>
          <w:sz w:val="18"/>
          <w:szCs w:val="20"/>
        </w:rPr>
      </w:pPr>
      <w:r>
        <w:rPr>
          <w:sz w:val="18"/>
          <w:szCs w:val="20"/>
        </w:rPr>
        <w:t>12、如遇清算机构调整合作范围、业务类型、费率、结算周期等，甲方有权随之作出相应调整。乙方拒绝调整，则可终止相关业务的合作。</w:t>
      </w:r>
    </w:p>
    <w:p w14:paraId="448AD6F5">
      <w:pPr>
        <w:pStyle w:val="9"/>
        <w:ind w:firstLine="360" w:firstLineChars="200"/>
        <w:rPr>
          <w:rFonts w:hint="eastAsia"/>
          <w:sz w:val="18"/>
          <w:szCs w:val="20"/>
        </w:rPr>
      </w:pPr>
      <w:r>
        <w:rPr>
          <w:sz w:val="18"/>
          <w:szCs w:val="20"/>
        </w:rPr>
        <w:t>13、如乙方的交易量无法达到甲方活动政策的指标，则甲方有权按照活动政策的规定对乙方做撤机处理。</w:t>
      </w:r>
    </w:p>
    <w:p w14:paraId="1D655B6F">
      <w:pPr>
        <w:pStyle w:val="9"/>
        <w:ind w:firstLine="360" w:firstLineChars="200"/>
        <w:rPr>
          <w:rFonts w:hint="eastAsia"/>
          <w:sz w:val="18"/>
          <w:szCs w:val="20"/>
        </w:rPr>
      </w:pPr>
      <w:r>
        <w:rPr>
          <w:sz w:val="18"/>
          <w:szCs w:val="20"/>
        </w:rPr>
        <w:t>14、乙方终止甲方的银行卡收单及条码支付业务、长期不使用的或甲方上线新产品、新业务，等情况，乙方授权甲方合理使用（包括合法委托第三方）乙方的联系方式等个人信息，通过电话、短信、站内信等形式向乙方征询继续使用、是否开通新业务等的业务联络。</w:t>
      </w:r>
    </w:p>
    <w:p w14:paraId="5471706A">
      <w:pPr>
        <w:pStyle w:val="9"/>
        <w:ind w:firstLine="360" w:firstLineChars="200"/>
        <w:rPr>
          <w:rFonts w:hint="eastAsia"/>
          <w:sz w:val="18"/>
          <w:szCs w:val="20"/>
        </w:rPr>
      </w:pPr>
      <w:r>
        <w:rPr>
          <w:sz w:val="18"/>
          <w:szCs w:val="20"/>
        </w:rPr>
        <w:t>15、乙方授权甲方（包括合法委托第三方）合理使用乙方的邮箱、电话号码等个人信息，通过该渠道向乙方发送信息，包括但不限于业务通知、调查活动、推荐新业务。</w:t>
      </w:r>
    </w:p>
    <w:p w14:paraId="1EF26A1A">
      <w:pPr>
        <w:pStyle w:val="9"/>
        <w:ind w:firstLine="360" w:firstLineChars="200"/>
        <w:rPr>
          <w:rFonts w:hint="eastAsia"/>
          <w:sz w:val="18"/>
          <w:szCs w:val="20"/>
        </w:rPr>
      </w:pPr>
      <w:r>
        <w:rPr>
          <w:sz w:val="18"/>
          <w:szCs w:val="20"/>
        </w:rPr>
        <w:t>16、乙方连续一定周期无交易产生，或一定周期内交易金额累计低于一定金额的（具体标准以甲方相关商户管理规则为准），甲方有权单方面终止为乙方提供银行卡交易服务，单方解除本协议，关停、注销乙方的商户资格。</w:t>
      </w:r>
    </w:p>
    <w:p w14:paraId="54DD27E2">
      <w:pPr>
        <w:ind w:firstLine="360" w:firstLineChars="200"/>
        <w:rPr>
          <w:rFonts w:hint="eastAsia"/>
          <w:b/>
          <w:bCs/>
          <w:sz w:val="18"/>
          <w:szCs w:val="20"/>
        </w:rPr>
      </w:pPr>
    </w:p>
    <w:p w14:paraId="434FEB08">
      <w:pPr>
        <w:ind w:firstLine="360" w:firstLineChars="200"/>
        <w:rPr>
          <w:rFonts w:hint="eastAsia"/>
          <w:sz w:val="18"/>
          <w:szCs w:val="20"/>
        </w:rPr>
      </w:pPr>
      <w:r>
        <w:rPr>
          <w:b/>
          <w:bCs/>
          <w:sz w:val="18"/>
          <w:szCs w:val="20"/>
        </w:rPr>
        <w:t>第三条乙方的权利与义务</w:t>
      </w:r>
    </w:p>
    <w:p w14:paraId="6BF87B41">
      <w:pPr>
        <w:pStyle w:val="9"/>
        <w:numPr>
          <w:ilvl w:val="0"/>
          <w:numId w:val="1"/>
        </w:numPr>
        <w:rPr>
          <w:rFonts w:hint="eastAsia"/>
          <w:sz w:val="18"/>
          <w:szCs w:val="20"/>
        </w:rPr>
      </w:pPr>
      <w:r>
        <w:rPr>
          <w:sz w:val="18"/>
          <w:szCs w:val="20"/>
        </w:rPr>
        <w:t>乙方承诺确填写《特约商户信息登记表》中的相关信息，向甲方提供的乙方的基本信息、营业</w:t>
      </w:r>
    </w:p>
    <w:p w14:paraId="369D554A">
      <w:pPr>
        <w:pStyle w:val="9"/>
        <w:rPr>
          <w:rFonts w:hint="eastAsia"/>
          <w:sz w:val="18"/>
          <w:szCs w:val="20"/>
        </w:rPr>
      </w:pPr>
      <w:r>
        <w:rPr>
          <w:sz w:val="18"/>
          <w:szCs w:val="20"/>
        </w:rPr>
        <w:t>执照、税务登记证、组织机构代码证、控股股东或实际控制人的身份证、法定代表人或负责人身份证、单位银行结算账户、开户许可证（如有）等入网资料与信息均真实、合法、有效，乙方独立承担因其提供的资料和信息不准确、不真实、不完整等情况而导致的经济损失和法律责任。在合作期内，乙方上述信息任何一项发生变更后应立即通知甲方或通过并授权外包服务商告知甲方，否则因此发生的损失和风险由乙方独自承担，甲方对此有权重新审核乙方的支付业务受理资质，并保留暂停为乙方提供资金结算服务的权利，并可根据变化情况单方面终止本协议。</w:t>
      </w:r>
    </w:p>
    <w:p w14:paraId="4CDDC848">
      <w:pPr>
        <w:pStyle w:val="9"/>
        <w:ind w:left="440"/>
        <w:rPr>
          <w:rFonts w:hint="eastAsia"/>
          <w:sz w:val="18"/>
          <w:szCs w:val="20"/>
        </w:rPr>
      </w:pPr>
      <w:r>
        <w:rPr>
          <w:sz w:val="18"/>
          <w:szCs w:val="20"/>
        </w:rPr>
        <w:t>乙方将收单结算账户设置为非已方同名账户的，乙方应根据甲方要求，向甲方提供是否存在同一品</w:t>
      </w:r>
    </w:p>
    <w:p w14:paraId="7359482C">
      <w:pPr>
        <w:pStyle w:val="9"/>
        <w:rPr>
          <w:rFonts w:hint="eastAsia"/>
          <w:sz w:val="18"/>
          <w:szCs w:val="20"/>
        </w:rPr>
      </w:pPr>
      <w:r>
        <w:rPr>
          <w:sz w:val="18"/>
          <w:szCs w:val="20"/>
        </w:rPr>
        <w:t>牌连锁经营、集团化管理等合法资金管理关系证据，供甲方进行审核，并保证非同名账户的开户人配合甲方进行身份识别和意愿核实。如乙方存在洗钱、非法资金交易、偷税漏税等违法、违规行为的，乙方应承担相应责任，如因此造成甲方损失的，乙方负赔偿责任。</w:t>
      </w:r>
    </w:p>
    <w:p w14:paraId="4332ADE8">
      <w:pPr>
        <w:pStyle w:val="9"/>
        <w:ind w:firstLine="360" w:firstLineChars="200"/>
        <w:rPr>
          <w:rFonts w:hint="eastAsia"/>
          <w:sz w:val="18"/>
          <w:szCs w:val="20"/>
        </w:rPr>
      </w:pPr>
      <w:r>
        <w:rPr>
          <w:sz w:val="18"/>
          <w:szCs w:val="20"/>
        </w:rPr>
        <w:t>2、乙方确定办理受理终端前应详尽且清晰地理解甲方届时的活动政策，包括开通服务费的收取、退还、流量卡服务费、手续费优惠券等内容，在保证全面了解并充分考虑清楚后决定是否办理，如有任何疑问，可联系甲方客服热线进行核实。如确实发生业务员虚假宣传、不当诱导等违法、违规情形，乙方可立即向甲方反馈。</w:t>
      </w:r>
    </w:p>
    <w:p w14:paraId="0A4662BE">
      <w:pPr>
        <w:pStyle w:val="9"/>
        <w:ind w:firstLine="360" w:firstLineChars="200"/>
        <w:rPr>
          <w:rFonts w:hint="eastAsia"/>
          <w:sz w:val="18"/>
          <w:szCs w:val="20"/>
        </w:rPr>
      </w:pPr>
      <w:r>
        <w:rPr>
          <w:sz w:val="18"/>
          <w:szCs w:val="20"/>
        </w:rPr>
        <w:t>3、甲方不会以承诺办理大额信用卡、办理贷款等捆绑承诺的形式进行推销，乙方如遇该情况，可联系甲方客服热线进行核实。</w:t>
      </w:r>
    </w:p>
    <w:p w14:paraId="4946D51C">
      <w:pPr>
        <w:pStyle w:val="9"/>
        <w:ind w:firstLine="360" w:firstLineChars="200"/>
        <w:rPr>
          <w:rFonts w:hint="eastAsia"/>
          <w:sz w:val="18"/>
          <w:szCs w:val="20"/>
        </w:rPr>
      </w:pPr>
      <w:r>
        <w:rPr>
          <w:sz w:val="18"/>
          <w:szCs w:val="20"/>
        </w:rPr>
        <w:t>4、乙方保证乙方的经营活动和经营范围的合法性与一致性，保证不从事非法经营、不正当竞争、虚假宣传、非法广告、商业欺诈、侵害消费者与用户（持卡人）合法权益的任何活动。因违反上述内容而造成的一切后果，乙方自行承担责任，若因此给甲方、持卡人及第三方（包括但不限于与甲方合作的服务商，下同）造成损失，乙方负责赔偿。</w:t>
      </w:r>
    </w:p>
    <w:p w14:paraId="3D6A74F4">
      <w:pPr>
        <w:pStyle w:val="9"/>
        <w:ind w:firstLine="360" w:firstLineChars="200"/>
        <w:rPr>
          <w:rFonts w:hint="eastAsia"/>
          <w:sz w:val="18"/>
          <w:szCs w:val="20"/>
        </w:rPr>
      </w:pPr>
      <w:r>
        <w:rPr>
          <w:sz w:val="18"/>
          <w:szCs w:val="20"/>
        </w:rPr>
        <w:t>5、乙方对可疑的用卡行为、卡片等情况有拒绝受理的权利与义务。</w:t>
      </w:r>
    </w:p>
    <w:p w14:paraId="3815900E">
      <w:pPr>
        <w:pStyle w:val="9"/>
        <w:ind w:firstLine="360" w:firstLineChars="200"/>
        <w:rPr>
          <w:rFonts w:hint="eastAsia"/>
          <w:sz w:val="18"/>
          <w:szCs w:val="20"/>
        </w:rPr>
      </w:pPr>
      <w:r>
        <w:rPr>
          <w:sz w:val="18"/>
          <w:szCs w:val="20"/>
        </w:rPr>
        <w:t>6、乙方需设立专人专岗负责对受理终端的日常管理、配合甲方进行巡检与监测，以控制内部操作风险，防范交易风险以及甲方的损失。乙方发现涉嫌电信网络新型违法犯罪的，应当立即向公安机关报告。</w:t>
      </w:r>
    </w:p>
    <w:p w14:paraId="2E4433A4">
      <w:pPr>
        <w:pStyle w:val="9"/>
        <w:ind w:firstLine="360" w:firstLineChars="200"/>
        <w:rPr>
          <w:rFonts w:hint="eastAsia"/>
          <w:sz w:val="18"/>
          <w:szCs w:val="20"/>
        </w:rPr>
      </w:pPr>
      <w:r>
        <w:rPr>
          <w:sz w:val="18"/>
          <w:szCs w:val="20"/>
        </w:rPr>
        <w:t>7、乙方不得将受理终端用于许可范围以外的用途；不得提供给任何第三方使用；不得挪用至非本协议约定的营业地点；不得将其他商户交易假冒本商户交易；不得使用设备虚构交易为客户或自行提取现金，因上述及其他违规操作而导致的任何经济损失及相应法律责任均应由乙方承担。若因此给甲方、持卡人及第三方造成损失，乙方负责赔偿。甲方对此保留暂停为乙方提供资金结算服务的权利，并可根据情况终止本协议。</w:t>
      </w:r>
    </w:p>
    <w:p w14:paraId="097DEA28">
      <w:pPr>
        <w:pStyle w:val="9"/>
        <w:ind w:firstLine="360" w:firstLineChars="200"/>
        <w:rPr>
          <w:rFonts w:hint="eastAsia"/>
          <w:sz w:val="18"/>
          <w:szCs w:val="20"/>
        </w:rPr>
      </w:pPr>
      <w:r>
        <w:rPr>
          <w:sz w:val="18"/>
          <w:szCs w:val="20"/>
        </w:rPr>
        <w:t>8、乙方应在确认下列情况之后，才可接受持卡人银行卡付款：</w:t>
      </w:r>
    </w:p>
    <w:p w14:paraId="3E8CB043">
      <w:pPr>
        <w:pStyle w:val="9"/>
        <w:ind w:firstLine="360" w:firstLineChars="200"/>
        <w:rPr>
          <w:rFonts w:hint="eastAsia"/>
          <w:sz w:val="18"/>
          <w:szCs w:val="20"/>
        </w:rPr>
      </w:pPr>
      <w:r>
        <w:rPr>
          <w:sz w:val="18"/>
          <w:szCs w:val="20"/>
        </w:rPr>
        <w:t>（1）银行卡完好无损，卡背面的签名栏已签名，无任何形式的涂改或损坏；卡面激光防伪图标没有破损或模糊；</w:t>
      </w:r>
    </w:p>
    <w:p w14:paraId="3652C8DE">
      <w:pPr>
        <w:pStyle w:val="9"/>
        <w:ind w:firstLine="360" w:firstLineChars="200"/>
        <w:rPr>
          <w:rFonts w:hint="eastAsia"/>
          <w:sz w:val="18"/>
          <w:szCs w:val="20"/>
        </w:rPr>
      </w:pPr>
      <w:r>
        <w:rPr>
          <w:sz w:val="18"/>
          <w:szCs w:val="20"/>
        </w:rPr>
        <w:t>（2）银行卡必须通过甲方提供的受理终端使用甲方的收单服务进行交易，即乙方不得选择其他机构的受理终端使用甲方的银行卡收单及条码支付业务，也不得使用甲方的受理终端转接其他支付机构的收单服务。</w:t>
      </w:r>
    </w:p>
    <w:p w14:paraId="20F0ADEA">
      <w:pPr>
        <w:pStyle w:val="9"/>
        <w:ind w:firstLine="360" w:firstLineChars="200"/>
        <w:rPr>
          <w:rFonts w:hint="eastAsia"/>
          <w:sz w:val="18"/>
          <w:szCs w:val="20"/>
        </w:rPr>
      </w:pPr>
      <w:r>
        <w:rPr>
          <w:sz w:val="18"/>
          <w:szCs w:val="20"/>
        </w:rPr>
        <w:t>9、乙方收银人员在受理银行卡时需要按照甲方提供的操作指南进行操作，如发现卡片有伪造痕迹或其他任何疑问应及时与甲方联系。核对无误后，请持卡人在签购单上确认交易金额并签字，收银人员须仔细核对签购单上持卡亲笔签名与银行卡背面的预留签名是否一致，乙方未按照要求执行而导致的经济损失，由乙方自行承担。</w:t>
      </w:r>
    </w:p>
    <w:p w14:paraId="4C4CA580">
      <w:pPr>
        <w:pStyle w:val="9"/>
        <w:ind w:firstLine="360" w:firstLineChars="200"/>
        <w:rPr>
          <w:rFonts w:hint="eastAsia"/>
          <w:sz w:val="18"/>
          <w:szCs w:val="20"/>
        </w:rPr>
      </w:pPr>
      <w:r>
        <w:rPr>
          <w:sz w:val="18"/>
          <w:szCs w:val="20"/>
        </w:rPr>
        <w:t>10、乙方受理银行卡时，若因未按正确程序受理复合芯片卡降级交易而导致伪卡欺诈损失或其它损失的，乙方应承担全部赔偿责任。</w:t>
      </w:r>
    </w:p>
    <w:p w14:paraId="337601E2">
      <w:pPr>
        <w:pStyle w:val="9"/>
        <w:ind w:firstLine="360" w:firstLineChars="200"/>
        <w:rPr>
          <w:rFonts w:hint="eastAsia"/>
          <w:sz w:val="18"/>
          <w:szCs w:val="20"/>
        </w:rPr>
      </w:pPr>
      <w:r>
        <w:rPr>
          <w:sz w:val="18"/>
          <w:szCs w:val="20"/>
        </w:rPr>
        <w:t>11、乙方应保证签购单上各项信息真实、有效，并妥善保管持卡人签字的签购单及其他交易凭证至少五年，签购单不得涂改，否则视为无效单据。乙方不得将签购单及其他交易凭证用于协议许可范围以外的用途，也不得提供给任何第三方使用。</w:t>
      </w:r>
    </w:p>
    <w:p w14:paraId="51330189">
      <w:pPr>
        <w:pStyle w:val="9"/>
        <w:ind w:firstLine="360" w:firstLineChars="200"/>
        <w:rPr>
          <w:rFonts w:hint="eastAsia"/>
          <w:sz w:val="18"/>
          <w:szCs w:val="20"/>
        </w:rPr>
      </w:pPr>
      <w:r>
        <w:rPr>
          <w:sz w:val="18"/>
          <w:szCs w:val="20"/>
        </w:rPr>
        <w:t>12、乙方受理银行卡时，未按照规定受理银行卡、发生涂改签单金额、分单操作、洗单、套现、接受已列入止付名单的信用卡、超授权限额使用、核对签名及信用卡有效期错误、以现金方式退货、超过规定期限请款等违规操作行为的，乙方应承担全部赔偿责任。</w:t>
      </w:r>
    </w:p>
    <w:p w14:paraId="2CCEB4B8">
      <w:pPr>
        <w:pStyle w:val="9"/>
        <w:ind w:firstLine="360" w:firstLineChars="200"/>
        <w:rPr>
          <w:rFonts w:hint="eastAsia"/>
          <w:sz w:val="18"/>
          <w:szCs w:val="20"/>
        </w:rPr>
      </w:pPr>
      <w:r>
        <w:rPr>
          <w:sz w:val="18"/>
          <w:szCs w:val="20"/>
        </w:rPr>
        <w:t>13、乙方（包括乙方的员工、雇员及合作机构等，无论该员工、雇员是否已离职，合作机构是否终止合作）不得以任何手段和方式存储、采集、截取、盗用消费者或用户（持卡人）的银行卡卡号、密码等信息，不得代消费者、用户（持卡人）或任何第三方提交订单或发送任何指令，否则乙方应独立承担由此引起的一切法律责任和后果，甲方有权据此终止本协议，若因此给甲方、持卡人及第三方造成损失，乙方负责赔偿。</w:t>
      </w:r>
    </w:p>
    <w:p w14:paraId="10F7C96B">
      <w:pPr>
        <w:pStyle w:val="9"/>
        <w:ind w:firstLine="360" w:firstLineChars="200"/>
        <w:rPr>
          <w:rFonts w:hint="eastAsia"/>
          <w:sz w:val="18"/>
          <w:szCs w:val="20"/>
        </w:rPr>
      </w:pPr>
      <w:r>
        <w:rPr>
          <w:sz w:val="18"/>
          <w:szCs w:val="20"/>
        </w:rPr>
        <w:t>14、乙方因电话故障或经营场所变更等原因须变更受理终端接入电话的或改变装机地点的，应提前、主动向甲方报告，经甲方同意后，由甲方协助乙方变更或改变；在未经甲方许可的情况下，乙方不得以不同门店受理银行卡的需要、用拨号POS上门收款等为理由擅自移机，确有正常经营需要的应向甲方提出申请，由甲方书面审批同意后方可在甲方的协助下实施。</w:t>
      </w:r>
    </w:p>
    <w:p w14:paraId="0CF6C7CB">
      <w:pPr>
        <w:pStyle w:val="9"/>
        <w:ind w:firstLine="360" w:firstLineChars="200"/>
        <w:rPr>
          <w:rFonts w:hint="eastAsia"/>
          <w:sz w:val="18"/>
          <w:szCs w:val="20"/>
        </w:rPr>
      </w:pPr>
      <w:r>
        <w:rPr>
          <w:sz w:val="18"/>
          <w:szCs w:val="20"/>
        </w:rPr>
        <w:t>15、乙方不得以任何理由受理下列银行卡交易：</w:t>
      </w:r>
    </w:p>
    <w:p w14:paraId="725B79E1">
      <w:pPr>
        <w:pStyle w:val="9"/>
        <w:ind w:firstLine="360" w:firstLineChars="200"/>
        <w:rPr>
          <w:rFonts w:hint="eastAsia"/>
          <w:sz w:val="18"/>
          <w:szCs w:val="20"/>
        </w:rPr>
      </w:pPr>
      <w:r>
        <w:rPr>
          <w:sz w:val="18"/>
          <w:szCs w:val="20"/>
        </w:rPr>
        <w:t>（1）国家明令禁止的交易；</w:t>
      </w:r>
    </w:p>
    <w:p w14:paraId="3A5FA35A">
      <w:pPr>
        <w:pStyle w:val="9"/>
        <w:ind w:firstLine="360" w:firstLineChars="200"/>
        <w:rPr>
          <w:rFonts w:hint="eastAsia"/>
          <w:sz w:val="18"/>
          <w:szCs w:val="20"/>
        </w:rPr>
      </w:pPr>
      <w:r>
        <w:rPr>
          <w:sz w:val="18"/>
          <w:szCs w:val="20"/>
        </w:rPr>
        <w:t>（2）乙方为第三方进行的交易；</w:t>
      </w:r>
    </w:p>
    <w:p w14:paraId="020A7BDB">
      <w:pPr>
        <w:pStyle w:val="9"/>
        <w:ind w:firstLine="360" w:firstLineChars="200"/>
        <w:rPr>
          <w:rFonts w:hint="eastAsia"/>
          <w:sz w:val="18"/>
          <w:szCs w:val="20"/>
        </w:rPr>
      </w:pPr>
      <w:r>
        <w:rPr>
          <w:sz w:val="18"/>
          <w:szCs w:val="20"/>
        </w:rPr>
        <w:t>（3）交易内容与签购单标示的内容不相符；</w:t>
      </w:r>
    </w:p>
    <w:p w14:paraId="673E30F6">
      <w:pPr>
        <w:pStyle w:val="9"/>
        <w:ind w:firstLine="360" w:firstLineChars="200"/>
        <w:rPr>
          <w:rFonts w:hint="eastAsia"/>
          <w:sz w:val="18"/>
          <w:szCs w:val="20"/>
        </w:rPr>
      </w:pPr>
      <w:r>
        <w:rPr>
          <w:sz w:val="18"/>
          <w:szCs w:val="20"/>
        </w:rPr>
        <w:t>（4）无真实商品标的或服务标的的交易，乙方应独立承担由此引起的一切法律责任和后果，甲方有权据此终止本协议，若因此给甲方、持卡人及第三方造成损失，乙方负责赔偿。</w:t>
      </w:r>
    </w:p>
    <w:p w14:paraId="57E9343F">
      <w:pPr>
        <w:pStyle w:val="9"/>
        <w:ind w:firstLine="360" w:firstLineChars="200"/>
        <w:rPr>
          <w:rFonts w:hint="eastAsia"/>
          <w:sz w:val="18"/>
          <w:szCs w:val="20"/>
        </w:rPr>
      </w:pPr>
      <w:r>
        <w:rPr>
          <w:sz w:val="18"/>
          <w:szCs w:val="20"/>
        </w:rPr>
        <w:t>16、在任何情况下，乙方不得向持卡人提供现金，否则，甲方有权立即解除本协议。</w:t>
      </w:r>
    </w:p>
    <w:p w14:paraId="28862E6E">
      <w:pPr>
        <w:pStyle w:val="9"/>
        <w:ind w:firstLine="360" w:firstLineChars="200"/>
        <w:rPr>
          <w:rFonts w:hint="eastAsia"/>
          <w:sz w:val="18"/>
          <w:szCs w:val="20"/>
        </w:rPr>
      </w:pPr>
      <w:r>
        <w:rPr>
          <w:sz w:val="18"/>
          <w:szCs w:val="20"/>
        </w:rPr>
        <w:t>17、持卡人、发卡机构、清算机构、甲方以及人民银行、公检法、市场监督管理局等权力机关对刷卡交易有异议时，乙方应当在甲方规定的时限内及时提供签购单、其他交易凭证及其他相关证据，并证明交易的真实性及合法性。</w:t>
      </w:r>
    </w:p>
    <w:p w14:paraId="3EAFE7C3">
      <w:pPr>
        <w:pStyle w:val="9"/>
        <w:ind w:firstLine="360" w:firstLineChars="200"/>
        <w:rPr>
          <w:rFonts w:hint="eastAsia"/>
          <w:sz w:val="18"/>
          <w:szCs w:val="20"/>
        </w:rPr>
      </w:pPr>
      <w:r>
        <w:rPr>
          <w:sz w:val="18"/>
          <w:szCs w:val="20"/>
        </w:rPr>
        <w:t>1</w:t>
      </w:r>
      <w:r>
        <w:rPr>
          <w:rFonts w:hint="eastAsia"/>
          <w:sz w:val="18"/>
          <w:szCs w:val="20"/>
        </w:rPr>
        <w:t>8</w:t>
      </w:r>
      <w:r>
        <w:rPr>
          <w:sz w:val="18"/>
          <w:szCs w:val="20"/>
        </w:rPr>
        <w:t>、未经甲方书面允许，乙方不得将银行卡业务资源、业务用品、机具设备、费率等向第三方开放或代理第三方银行卡方面的业务，同时乙方不得将受理银行卡的业务委托或转让给第三方。</w:t>
      </w:r>
    </w:p>
    <w:p w14:paraId="7D5AE759">
      <w:pPr>
        <w:pStyle w:val="9"/>
        <w:ind w:firstLine="360" w:firstLineChars="200"/>
        <w:rPr>
          <w:rFonts w:hint="eastAsia"/>
          <w:sz w:val="18"/>
          <w:szCs w:val="20"/>
        </w:rPr>
      </w:pPr>
      <w:r>
        <w:rPr>
          <w:sz w:val="18"/>
          <w:szCs w:val="20"/>
        </w:rPr>
        <w:t>19、乙方不得因持卡人使用银行卡进行正常交易而向其收取额外的费用，转嫁或者变相转嫁刷卡佣金或者以此为理由降低持卡人当期的优惠折扣服务，或者以其他优惠措施和理由引导持卡人使用非银行卡的方式进行结算。</w:t>
      </w:r>
    </w:p>
    <w:p w14:paraId="236A346D">
      <w:pPr>
        <w:pStyle w:val="9"/>
        <w:ind w:firstLine="360" w:firstLineChars="200"/>
        <w:rPr>
          <w:rFonts w:hint="eastAsia"/>
          <w:sz w:val="18"/>
          <w:szCs w:val="20"/>
        </w:rPr>
      </w:pPr>
      <w:r>
        <w:rPr>
          <w:sz w:val="18"/>
          <w:szCs w:val="20"/>
        </w:rPr>
        <w:t>20、乙方不得虚构、隐瞒事实，以入网时不清楚开通服务费的收取、退还、流量卡服务费、交易手续费费率、手续费优惠券等内容为由向甲方、监管部门（包括但不限于中国人民银行、中国银联、市场监督管理局）、媒体平台等进行恶意投诉、侮辱、诽谤等。如出现该情况，甲方有权终止本协议、关停商户服务，并诉诸司法解决，构成犯罪的，移送公安机关处理。</w:t>
      </w:r>
    </w:p>
    <w:p w14:paraId="3C69ED13">
      <w:pPr>
        <w:pStyle w:val="9"/>
        <w:ind w:firstLine="360" w:firstLineChars="200"/>
        <w:rPr>
          <w:rFonts w:hint="eastAsia"/>
          <w:sz w:val="18"/>
          <w:szCs w:val="20"/>
        </w:rPr>
      </w:pPr>
      <w:r>
        <w:rPr>
          <w:sz w:val="18"/>
          <w:szCs w:val="20"/>
        </w:rPr>
        <w:t>21、乙方禁止出租、出借、出售支付受理终端（含条码支付辅助受理终端）、收款条码和收单结算账户，如出现风险交易、疑似风险交易、与第三方产生纠纷、被诈骗、涉嫌洗钱、赌博、涉黄等违法犯罪情形之任何风险及责任由乙方自行承担。乙方不得以出租、出借、出售支付受理终端、收款条码和收单结算账户为由拒绝承担责任。</w:t>
      </w:r>
    </w:p>
    <w:p w14:paraId="46B8C393">
      <w:pPr>
        <w:pStyle w:val="9"/>
        <w:ind w:firstLine="360" w:firstLineChars="200"/>
        <w:rPr>
          <w:rFonts w:hint="eastAsia"/>
          <w:sz w:val="18"/>
          <w:szCs w:val="20"/>
        </w:rPr>
      </w:pPr>
      <w:r>
        <w:rPr>
          <w:sz w:val="18"/>
          <w:szCs w:val="20"/>
        </w:rPr>
        <w:t>22、本协议终止后五年内，甲方对协议终止前的所有交易仍有向乙方查询的权利，法律法规等规定长于此期限的以相关规定为准。</w:t>
      </w:r>
    </w:p>
    <w:p w14:paraId="3933B7CB">
      <w:pPr>
        <w:ind w:firstLine="360" w:firstLineChars="200"/>
        <w:rPr>
          <w:rFonts w:hint="eastAsia"/>
          <w:b/>
          <w:bCs/>
          <w:sz w:val="18"/>
          <w:szCs w:val="20"/>
        </w:rPr>
      </w:pPr>
    </w:p>
    <w:p w14:paraId="101EB4F9">
      <w:pPr>
        <w:ind w:firstLine="360" w:firstLineChars="200"/>
        <w:rPr>
          <w:rFonts w:hint="eastAsia"/>
          <w:b/>
          <w:bCs/>
          <w:sz w:val="18"/>
          <w:szCs w:val="20"/>
        </w:rPr>
      </w:pPr>
      <w:r>
        <w:rPr>
          <w:b/>
          <w:bCs/>
          <w:sz w:val="18"/>
          <w:szCs w:val="20"/>
        </w:rPr>
        <w:t>第四条对账、清算及差错处理</w:t>
      </w:r>
    </w:p>
    <w:p w14:paraId="05118037">
      <w:pPr>
        <w:pStyle w:val="9"/>
        <w:ind w:firstLine="360" w:firstLineChars="200"/>
        <w:rPr>
          <w:rFonts w:hint="eastAsia"/>
          <w:sz w:val="18"/>
          <w:szCs w:val="20"/>
        </w:rPr>
      </w:pPr>
      <w:r>
        <w:rPr>
          <w:sz w:val="18"/>
          <w:szCs w:val="20"/>
        </w:rPr>
        <w:t>1、交易手续费计算方式为：交易金额乘以交易费率或按笔收费。本协议履行过程中，如遇中国人民银行等相关监管机构、中国银联等国内外清算机构/卡组织、行业自律组织的相关规定发生变化，市场环境发生变化甲方需要对业务进行调整等情况，甲方有调整交易手续费标准的可能。届时，甲方将通过官方网站、APP、业务系统、小程序等一种或多种平台，以公告、弹窗提示、站内信的方式，或通过电话、短信、邮件通知的方式（选择以上任一或多种通知方式）向乙方发出变更通知。如乙方不同意该变更，可停止使用本服务；如欲继续使用本服务，请按照通知内容完成新协议的签约、以其他类似方式确认同意新的价格，具体手续费标准以甲方运营平台展示为准。</w:t>
      </w:r>
      <w:r>
        <w:rPr>
          <w:rFonts w:hint="eastAsia"/>
          <w:sz w:val="18"/>
          <w:szCs w:val="20"/>
        </w:rPr>
        <w:t xml:space="preserve">  </w:t>
      </w:r>
    </w:p>
    <w:p w14:paraId="0B706399">
      <w:pPr>
        <w:pStyle w:val="9"/>
        <w:ind w:firstLine="360" w:firstLineChars="200"/>
        <w:rPr>
          <w:rFonts w:hint="eastAsia"/>
          <w:sz w:val="18"/>
          <w:szCs w:val="20"/>
        </w:rPr>
      </w:pPr>
      <w:r>
        <w:rPr>
          <w:sz w:val="18"/>
          <w:szCs w:val="20"/>
        </w:rPr>
        <w:t>2、银行卡交易成功以受理终端显示屏显示“交易成功”并且成功打印出交易凭条，并由持卡人签字确认为准。</w:t>
      </w:r>
    </w:p>
    <w:p w14:paraId="71A99F19">
      <w:pPr>
        <w:pStyle w:val="9"/>
        <w:ind w:firstLine="360" w:firstLineChars="200"/>
        <w:rPr>
          <w:rFonts w:hint="eastAsia"/>
          <w:sz w:val="18"/>
          <w:szCs w:val="20"/>
        </w:rPr>
      </w:pPr>
      <w:r>
        <w:rPr>
          <w:sz w:val="18"/>
          <w:szCs w:val="20"/>
        </w:rPr>
        <w:t>3、甲方应在收到清算凭证后在约定结算周期内将乙方交易净金额（交易金额扣除本协议约定的交易手续费后的金额）结算至乙方指定的结算账户中，清算数据以清算机构或发卡机构的交易电子数据为准。</w:t>
      </w:r>
    </w:p>
    <w:p w14:paraId="13497CF8">
      <w:pPr>
        <w:pStyle w:val="9"/>
        <w:ind w:firstLine="360" w:firstLineChars="200"/>
        <w:rPr>
          <w:rFonts w:hint="eastAsia"/>
          <w:sz w:val="18"/>
          <w:szCs w:val="20"/>
        </w:rPr>
      </w:pPr>
      <w:r>
        <w:rPr>
          <w:sz w:val="18"/>
          <w:szCs w:val="20"/>
        </w:rPr>
        <w:t>4、乙方对于入账的款项应及时核对，超过30日未提出异议的，视为对甲方入账处理的认可。</w:t>
      </w:r>
    </w:p>
    <w:p w14:paraId="054BE561">
      <w:pPr>
        <w:pStyle w:val="9"/>
        <w:ind w:firstLine="360" w:firstLineChars="200"/>
        <w:rPr>
          <w:rFonts w:hint="eastAsia"/>
          <w:sz w:val="18"/>
          <w:szCs w:val="20"/>
        </w:rPr>
      </w:pPr>
      <w:r>
        <w:rPr>
          <w:sz w:val="18"/>
          <w:szCs w:val="20"/>
        </w:rPr>
        <w:t>5、持卡人或发卡机构、清算机构、甲方对刷卡交易有异议时，甲方有权要求乙方在</w:t>
      </w:r>
      <w:r>
        <w:rPr>
          <w:rFonts w:hint="eastAsia"/>
          <w:sz w:val="18"/>
          <w:szCs w:val="20"/>
        </w:rPr>
        <w:t>5</w:t>
      </w:r>
      <w:r>
        <w:rPr>
          <w:sz w:val="18"/>
          <w:szCs w:val="20"/>
        </w:rPr>
        <w:t>个工作日内提交持卡人原始交易的有效签购单、其他交易凭证及其他相关信息。若乙方未能按时或完全回复、未提交或提交无效签购单等乙方原因而造成发卡机构退单的，由此产生的一切经济损失由乙方承担，甲方有权拒付并从乙方后续交易净金额中抵扣相应款项或向乙方提出追索。如由甲方服务商承担了相应损失的，服务商有权向乙方进行追索。</w:t>
      </w:r>
    </w:p>
    <w:p w14:paraId="4BAB5EF4">
      <w:pPr>
        <w:pStyle w:val="9"/>
        <w:ind w:firstLine="360" w:firstLineChars="200"/>
        <w:rPr>
          <w:rFonts w:hint="eastAsia"/>
          <w:sz w:val="18"/>
          <w:szCs w:val="20"/>
        </w:rPr>
      </w:pPr>
      <w:r>
        <w:rPr>
          <w:sz w:val="18"/>
          <w:szCs w:val="20"/>
        </w:rPr>
        <w:t>6、持卡人对刷卡交易有异议或发生差错时，可通过乙方或持卡人的发卡机构向甲方查询、投诉，各方均不得以任何理由推诿和拒绝受理查询、投诉。甲乙双方均有责任及时按照有关规定办理相关交易的差错处理。</w:t>
      </w:r>
    </w:p>
    <w:p w14:paraId="086690A2">
      <w:pPr>
        <w:pStyle w:val="9"/>
        <w:ind w:firstLine="360" w:firstLineChars="200"/>
        <w:rPr>
          <w:rFonts w:hint="eastAsia"/>
          <w:sz w:val="18"/>
          <w:szCs w:val="20"/>
        </w:rPr>
      </w:pPr>
      <w:r>
        <w:rPr>
          <w:sz w:val="18"/>
          <w:szCs w:val="20"/>
        </w:rPr>
        <w:t>7、本协议适用于持卡消费者在乙方使用银行卡进行消费支付的每一笔交易，有关方发生交易投诉、差错和纠纷时，甲乙双方均应接受和执行清算机构或发卡行的处理结果。若仍有争议，可经由中国银联及其入网成员机构共同组成的“银行卡争议处理委员会”裁定后执行，涉及涉外清算机构的交易，由相关涉外清算机构按照其处理规则处理。</w:t>
      </w:r>
    </w:p>
    <w:p w14:paraId="61C75018">
      <w:pPr>
        <w:pStyle w:val="9"/>
        <w:ind w:firstLine="360" w:firstLineChars="200"/>
        <w:rPr>
          <w:rFonts w:hint="eastAsia"/>
          <w:sz w:val="18"/>
          <w:szCs w:val="20"/>
        </w:rPr>
      </w:pPr>
      <w:r>
        <w:rPr>
          <w:sz w:val="18"/>
          <w:szCs w:val="20"/>
        </w:rPr>
        <w:t>8、对于因清算机构、发卡机构、甲方系统等原因而导致的错误入账，乙方有义务配合调查并立即返还相应款项，甲方有权暂缓结算交易净金额，从交易净金额中扣除多入账的金额，并有权追讨已结算的交易净金额，如乙方怠于返还的，应向甲方按照占用资金为基数以入账错误发生时一年期贷款市场报价利率四倍的标准支付资金占用违约金。</w:t>
      </w:r>
    </w:p>
    <w:p w14:paraId="3658A03B">
      <w:pPr>
        <w:pStyle w:val="9"/>
        <w:ind w:firstLine="360" w:firstLineChars="200"/>
        <w:rPr>
          <w:rFonts w:hint="eastAsia"/>
          <w:sz w:val="18"/>
          <w:szCs w:val="20"/>
        </w:rPr>
      </w:pPr>
      <w:r>
        <w:rPr>
          <w:sz w:val="18"/>
          <w:szCs w:val="20"/>
        </w:rPr>
        <w:t>9、出现下列情况时，甲方有权在日后乙方产生的交易净金额中将有关款项扣除并告知乙方,或向乙方追索：</w:t>
      </w:r>
    </w:p>
    <w:p w14:paraId="0107C66A">
      <w:pPr>
        <w:pStyle w:val="9"/>
        <w:ind w:firstLine="360" w:firstLineChars="200"/>
        <w:rPr>
          <w:rFonts w:hint="eastAsia"/>
          <w:sz w:val="18"/>
          <w:szCs w:val="20"/>
        </w:rPr>
      </w:pPr>
      <w:r>
        <w:rPr>
          <w:sz w:val="18"/>
          <w:szCs w:val="20"/>
        </w:rPr>
        <w:t>（1）乙方受理银行卡时在签购单上未留有持卡人签名或持卡人签名与背面预留签名明显不符以及重复扣款等违反本协议的错误交易；</w:t>
      </w:r>
    </w:p>
    <w:p w14:paraId="22536EDB">
      <w:pPr>
        <w:pStyle w:val="9"/>
        <w:ind w:firstLine="360" w:firstLineChars="200"/>
        <w:rPr>
          <w:rFonts w:hint="eastAsia"/>
          <w:sz w:val="18"/>
          <w:szCs w:val="20"/>
        </w:rPr>
      </w:pPr>
      <w:r>
        <w:rPr>
          <w:sz w:val="18"/>
          <w:szCs w:val="20"/>
        </w:rPr>
        <w:t>（2）签购单上的重要信息（如日期、金额、签名）有涂改；</w:t>
      </w:r>
    </w:p>
    <w:p w14:paraId="75D090B0">
      <w:pPr>
        <w:pStyle w:val="9"/>
        <w:ind w:firstLine="360" w:firstLineChars="200"/>
        <w:rPr>
          <w:rFonts w:hint="eastAsia"/>
          <w:sz w:val="18"/>
          <w:szCs w:val="20"/>
        </w:rPr>
      </w:pPr>
      <w:r>
        <w:rPr>
          <w:sz w:val="18"/>
          <w:szCs w:val="20"/>
        </w:rPr>
        <w:t>（3）签购单项目不准确，或没有得到持卡人或发卡银行的确认；</w:t>
      </w:r>
    </w:p>
    <w:p w14:paraId="5D4BA011">
      <w:pPr>
        <w:pStyle w:val="9"/>
        <w:ind w:firstLine="360" w:firstLineChars="200"/>
        <w:rPr>
          <w:rFonts w:hint="eastAsia"/>
          <w:sz w:val="18"/>
          <w:szCs w:val="20"/>
        </w:rPr>
      </w:pPr>
      <w:r>
        <w:rPr>
          <w:sz w:val="18"/>
          <w:szCs w:val="20"/>
        </w:rPr>
        <w:t>（4）签购单上交易明细与实际交易情况不符；</w:t>
      </w:r>
    </w:p>
    <w:p w14:paraId="3948929A">
      <w:pPr>
        <w:pStyle w:val="9"/>
        <w:ind w:firstLine="360" w:firstLineChars="200"/>
        <w:rPr>
          <w:rFonts w:hint="eastAsia"/>
          <w:sz w:val="18"/>
          <w:szCs w:val="20"/>
        </w:rPr>
      </w:pPr>
      <w:r>
        <w:rPr>
          <w:sz w:val="18"/>
          <w:szCs w:val="20"/>
        </w:rPr>
        <w:t>（5）乙方不能向甲方提供需要查看的原始交易凭证；</w:t>
      </w:r>
    </w:p>
    <w:p w14:paraId="302D0366">
      <w:pPr>
        <w:pStyle w:val="9"/>
        <w:ind w:firstLine="360" w:firstLineChars="200"/>
        <w:rPr>
          <w:rFonts w:hint="eastAsia"/>
          <w:sz w:val="18"/>
          <w:szCs w:val="20"/>
        </w:rPr>
      </w:pPr>
      <w:r>
        <w:rPr>
          <w:sz w:val="18"/>
          <w:szCs w:val="20"/>
        </w:rPr>
        <w:t>（6）乙方不能或不能按时对甲方提出的交易查询信息进行反馈；</w:t>
      </w:r>
    </w:p>
    <w:p w14:paraId="49E837A5">
      <w:pPr>
        <w:pStyle w:val="9"/>
        <w:ind w:firstLine="360" w:firstLineChars="200"/>
        <w:rPr>
          <w:rFonts w:hint="eastAsia"/>
          <w:sz w:val="18"/>
          <w:szCs w:val="20"/>
        </w:rPr>
      </w:pPr>
      <w:r>
        <w:rPr>
          <w:sz w:val="18"/>
          <w:szCs w:val="20"/>
        </w:rPr>
        <w:t>（7）乙方不能或不能按时对甲方所发出的异常交易账务调整要求提供相应的证明，或接受甲方调账要求；</w:t>
      </w:r>
    </w:p>
    <w:p w14:paraId="6CAB9BBE">
      <w:pPr>
        <w:pStyle w:val="9"/>
        <w:ind w:firstLine="360" w:firstLineChars="200"/>
        <w:rPr>
          <w:rFonts w:hint="eastAsia"/>
          <w:sz w:val="18"/>
          <w:szCs w:val="20"/>
        </w:rPr>
      </w:pPr>
      <w:r>
        <w:rPr>
          <w:sz w:val="18"/>
          <w:szCs w:val="20"/>
        </w:rPr>
        <w:t>（8）任何非甲方原因导致的退单；</w:t>
      </w:r>
    </w:p>
    <w:p w14:paraId="0E82A9F5">
      <w:pPr>
        <w:pStyle w:val="9"/>
        <w:ind w:firstLine="360" w:firstLineChars="200"/>
        <w:rPr>
          <w:rFonts w:hint="eastAsia"/>
          <w:sz w:val="18"/>
          <w:szCs w:val="20"/>
        </w:rPr>
      </w:pPr>
      <w:r>
        <w:rPr>
          <w:sz w:val="18"/>
          <w:szCs w:val="20"/>
        </w:rPr>
        <w:t>（9）签购单涉及的商品或服务违反相关法律法规；</w:t>
      </w:r>
    </w:p>
    <w:p w14:paraId="45BEDF11">
      <w:pPr>
        <w:pStyle w:val="9"/>
        <w:ind w:firstLine="360" w:firstLineChars="200"/>
        <w:rPr>
          <w:rFonts w:hint="eastAsia"/>
          <w:sz w:val="18"/>
          <w:szCs w:val="20"/>
        </w:rPr>
      </w:pPr>
      <w:r>
        <w:rPr>
          <w:sz w:val="18"/>
          <w:szCs w:val="20"/>
        </w:rPr>
        <w:t>（10）乙方提供的产品或服务存在瑕疵致使消费者/持卡人向甲方、发卡行、清算机构、权力机关投诉的，经协调确属乙方责任或协调无果的；</w:t>
      </w:r>
    </w:p>
    <w:p w14:paraId="46805875">
      <w:pPr>
        <w:pStyle w:val="9"/>
        <w:ind w:firstLine="360" w:firstLineChars="200"/>
        <w:rPr>
          <w:rFonts w:hint="eastAsia"/>
          <w:sz w:val="18"/>
          <w:szCs w:val="20"/>
        </w:rPr>
      </w:pPr>
      <w:r>
        <w:rPr>
          <w:sz w:val="18"/>
          <w:szCs w:val="20"/>
        </w:rPr>
        <w:t>（11）其他为了保障甲方、持卡人、第三方合法权益等原因需要扣款的情形。</w:t>
      </w:r>
    </w:p>
    <w:p w14:paraId="44CE4CB5">
      <w:pPr>
        <w:pStyle w:val="9"/>
        <w:ind w:firstLine="360" w:firstLineChars="200"/>
        <w:rPr>
          <w:rFonts w:hint="eastAsia"/>
          <w:sz w:val="18"/>
          <w:szCs w:val="20"/>
        </w:rPr>
      </w:pPr>
      <w:r>
        <w:rPr>
          <w:sz w:val="18"/>
          <w:szCs w:val="20"/>
        </w:rPr>
        <w:t>10、由于任何原因导致的退单造成甲方经济损失的，甲方有权选择向乙方或持卡人进行追偿，如甲方选择向持卡人进行追偿，乙方应当协助甲方办理相关手续保证甲方的追偿主体资格合法有效并与持卡人承担连带责任。</w:t>
      </w:r>
    </w:p>
    <w:p w14:paraId="39618B2E">
      <w:pPr>
        <w:pStyle w:val="9"/>
        <w:ind w:firstLine="360" w:firstLineChars="200"/>
        <w:rPr>
          <w:rFonts w:hint="eastAsia"/>
          <w:sz w:val="18"/>
          <w:szCs w:val="20"/>
        </w:rPr>
      </w:pPr>
      <w:r>
        <w:rPr>
          <w:sz w:val="18"/>
          <w:szCs w:val="20"/>
        </w:rPr>
        <w:t>11、如乙方违反法律、法规、监管要求、行业规范，违反本协议及其他内容的约定、甲方的制度与政策等，因此造成甲方、持卡人、第三方的损失的，由乙方承担赔偿责任，甲方有权从乙方后续交易净金额中抵扣相应款项直接受偿或赔偿持卡人、第三方，或直接向乙方提出追索。</w:t>
      </w:r>
    </w:p>
    <w:p w14:paraId="6E252BDD">
      <w:pPr>
        <w:ind w:firstLine="360" w:firstLineChars="200"/>
        <w:rPr>
          <w:rFonts w:hint="eastAsia"/>
          <w:b/>
          <w:bCs/>
          <w:sz w:val="18"/>
          <w:szCs w:val="20"/>
        </w:rPr>
      </w:pPr>
    </w:p>
    <w:p w14:paraId="2310BA6B">
      <w:pPr>
        <w:ind w:firstLine="360" w:firstLineChars="200"/>
        <w:rPr>
          <w:rFonts w:hint="eastAsia"/>
          <w:b/>
          <w:bCs/>
          <w:sz w:val="18"/>
          <w:szCs w:val="20"/>
        </w:rPr>
      </w:pPr>
      <w:r>
        <w:rPr>
          <w:b/>
          <w:bCs/>
          <w:sz w:val="18"/>
          <w:szCs w:val="20"/>
        </w:rPr>
        <w:t>第五条交易安全</w:t>
      </w:r>
    </w:p>
    <w:p w14:paraId="53CC5B89">
      <w:pPr>
        <w:pStyle w:val="9"/>
        <w:ind w:firstLine="360" w:firstLineChars="200"/>
        <w:rPr>
          <w:rFonts w:hint="eastAsia"/>
          <w:sz w:val="18"/>
          <w:szCs w:val="20"/>
        </w:rPr>
      </w:pPr>
      <w:r>
        <w:rPr>
          <w:sz w:val="18"/>
          <w:szCs w:val="20"/>
        </w:rPr>
        <w:t>1、乙方在受理银行卡时，只能在甲方提供的受理终端上操作，乙方不得使用其他未经过甲方许可的设备读取银行卡信息，不得自行或授权任何第三方维护受理终端、设置系统或处理相关数据。</w:t>
      </w:r>
    </w:p>
    <w:p w14:paraId="61E0673E">
      <w:pPr>
        <w:pStyle w:val="9"/>
        <w:ind w:firstLine="360" w:firstLineChars="200"/>
        <w:rPr>
          <w:rFonts w:hint="eastAsia"/>
          <w:sz w:val="18"/>
          <w:szCs w:val="20"/>
        </w:rPr>
      </w:pPr>
      <w:r>
        <w:rPr>
          <w:sz w:val="18"/>
          <w:szCs w:val="20"/>
        </w:rPr>
        <w:t>2、乙方保证终端除由甲方或甲方授权的相关机构进行维护和更换外，其他人员不得对该终端进行检测、维护、更换、移动或加装，以及信息侧录。如因使用、保管不当造成终端丢失、损坏、业务停用或其他不良后果，乙方应负全部责任，如造成甲方、持卡人或第三方损失的，乙方负责全额赔偿。</w:t>
      </w:r>
    </w:p>
    <w:p w14:paraId="78E59282">
      <w:pPr>
        <w:pStyle w:val="9"/>
        <w:ind w:firstLine="360" w:firstLineChars="200"/>
        <w:rPr>
          <w:rFonts w:hint="eastAsia"/>
          <w:sz w:val="18"/>
          <w:szCs w:val="20"/>
        </w:rPr>
      </w:pPr>
      <w:r>
        <w:rPr>
          <w:sz w:val="18"/>
          <w:szCs w:val="20"/>
        </w:rPr>
        <w:t>3、甲方不会以原有受理终端存在质量问题、升级换代、手续费标准高等为由为乙方更换受理终端。乙方如遇该情况，应谨慎判断，联系甲方核实，谨防被骗，如因此造成乙方损失，应向责任方主张权益，与甲方无关。</w:t>
      </w:r>
    </w:p>
    <w:p w14:paraId="1A326F07">
      <w:pPr>
        <w:pStyle w:val="9"/>
        <w:ind w:firstLine="360" w:firstLineChars="200"/>
        <w:rPr>
          <w:rFonts w:hint="eastAsia"/>
          <w:sz w:val="18"/>
          <w:szCs w:val="20"/>
        </w:rPr>
      </w:pPr>
      <w:r>
        <w:rPr>
          <w:sz w:val="18"/>
          <w:szCs w:val="20"/>
        </w:rPr>
        <w:t>4、为避免持卡人进行的欺诈交易为乙方与持卡人、甲方、第三方带来的损失，乙方应对下列异常交易情况特别注意并拒绝受理交易，及时与甲方联系：</w:t>
      </w:r>
    </w:p>
    <w:p w14:paraId="1BDA254E">
      <w:pPr>
        <w:pStyle w:val="9"/>
        <w:ind w:firstLine="360" w:firstLineChars="200"/>
        <w:rPr>
          <w:rFonts w:hint="eastAsia"/>
          <w:sz w:val="18"/>
          <w:szCs w:val="20"/>
        </w:rPr>
      </w:pPr>
      <w:r>
        <w:rPr>
          <w:sz w:val="18"/>
          <w:szCs w:val="20"/>
        </w:rPr>
        <w:t>（1）卡面凸印卡号有更改痕迹，或POS机具显示卡号与凸印卡号不符；</w:t>
      </w:r>
    </w:p>
    <w:p w14:paraId="1AD5D8EF">
      <w:pPr>
        <w:pStyle w:val="9"/>
        <w:ind w:firstLine="360" w:firstLineChars="200"/>
        <w:rPr>
          <w:rFonts w:hint="eastAsia"/>
          <w:sz w:val="18"/>
          <w:szCs w:val="20"/>
        </w:rPr>
      </w:pPr>
      <w:r>
        <w:rPr>
          <w:sz w:val="18"/>
          <w:szCs w:val="20"/>
        </w:rPr>
        <w:t>（2）持卡人未经选择即购买高价值或者易变现商品；</w:t>
      </w:r>
    </w:p>
    <w:p w14:paraId="18F01A20">
      <w:pPr>
        <w:pStyle w:val="9"/>
        <w:ind w:firstLine="360" w:firstLineChars="200"/>
        <w:rPr>
          <w:rFonts w:hint="eastAsia"/>
          <w:sz w:val="18"/>
          <w:szCs w:val="20"/>
        </w:rPr>
      </w:pPr>
      <w:r>
        <w:rPr>
          <w:sz w:val="18"/>
          <w:szCs w:val="20"/>
        </w:rPr>
        <w:t>（3）持卡人购买多件同一类或同一规格商品；</w:t>
      </w:r>
    </w:p>
    <w:p w14:paraId="4E26F42C">
      <w:pPr>
        <w:pStyle w:val="9"/>
        <w:ind w:firstLine="360" w:firstLineChars="200"/>
        <w:rPr>
          <w:rFonts w:hint="eastAsia"/>
          <w:sz w:val="18"/>
          <w:szCs w:val="20"/>
        </w:rPr>
      </w:pPr>
      <w:r>
        <w:rPr>
          <w:sz w:val="18"/>
          <w:szCs w:val="20"/>
        </w:rPr>
        <w:t>（4）持卡人不清楚本卡余额或可用信用额度、密码等，反复要求试刷卡；</w:t>
      </w:r>
    </w:p>
    <w:p w14:paraId="47721ED1">
      <w:pPr>
        <w:pStyle w:val="9"/>
        <w:ind w:firstLine="360" w:firstLineChars="200"/>
        <w:rPr>
          <w:rFonts w:hint="eastAsia"/>
          <w:sz w:val="18"/>
          <w:szCs w:val="20"/>
        </w:rPr>
      </w:pPr>
      <w:r>
        <w:rPr>
          <w:sz w:val="18"/>
          <w:szCs w:val="20"/>
        </w:rPr>
        <w:t>（5）持卡人以金额不足为由，反复要求试刷不同银行卡；</w:t>
      </w:r>
    </w:p>
    <w:p w14:paraId="001501CF">
      <w:pPr>
        <w:pStyle w:val="9"/>
        <w:ind w:firstLine="360" w:firstLineChars="200"/>
        <w:rPr>
          <w:rFonts w:hint="eastAsia"/>
          <w:sz w:val="18"/>
          <w:szCs w:val="20"/>
        </w:rPr>
      </w:pPr>
      <w:r>
        <w:rPr>
          <w:sz w:val="18"/>
          <w:szCs w:val="20"/>
        </w:rPr>
        <w:t>（6）持卡人在签购单上的签名与银行卡背面预留的签名不一致，或者对照银行卡进行签名；</w:t>
      </w:r>
    </w:p>
    <w:p w14:paraId="40F3196C">
      <w:pPr>
        <w:pStyle w:val="9"/>
        <w:ind w:firstLine="360" w:firstLineChars="200"/>
        <w:rPr>
          <w:rFonts w:hint="eastAsia"/>
          <w:sz w:val="18"/>
          <w:szCs w:val="20"/>
        </w:rPr>
      </w:pPr>
      <w:r>
        <w:rPr>
          <w:sz w:val="18"/>
          <w:szCs w:val="20"/>
        </w:rPr>
        <w:t>（7）任何出现本协议约定的风险情况或其他高危情况。</w:t>
      </w:r>
    </w:p>
    <w:p w14:paraId="4923190E">
      <w:pPr>
        <w:pStyle w:val="9"/>
        <w:ind w:firstLine="360" w:firstLineChars="200"/>
        <w:rPr>
          <w:rFonts w:hint="eastAsia"/>
          <w:sz w:val="18"/>
          <w:szCs w:val="20"/>
        </w:rPr>
      </w:pPr>
      <w:r>
        <w:rPr>
          <w:sz w:val="18"/>
          <w:szCs w:val="20"/>
        </w:rPr>
        <w:t>5、甲方为保障受理银行卡及条码支付业务的安全有权对相关交易采用监控、可疑跟踪等电子技术手段。</w:t>
      </w:r>
    </w:p>
    <w:p w14:paraId="628506E0">
      <w:pPr>
        <w:pStyle w:val="9"/>
        <w:ind w:firstLine="360" w:firstLineChars="200"/>
        <w:rPr>
          <w:rFonts w:hint="eastAsia"/>
          <w:sz w:val="18"/>
          <w:szCs w:val="20"/>
        </w:rPr>
      </w:pPr>
      <w:r>
        <w:rPr>
          <w:sz w:val="18"/>
          <w:szCs w:val="20"/>
        </w:rPr>
        <w:t>6、乙方有义务配合人民银行、清算机构、银行、权力机关、甲方对银行卡案件进行调查、打击银行卡犯罪。</w:t>
      </w:r>
    </w:p>
    <w:p w14:paraId="2465A295">
      <w:pPr>
        <w:pStyle w:val="9"/>
        <w:ind w:firstLine="360" w:firstLineChars="200"/>
        <w:rPr>
          <w:rFonts w:hint="eastAsia"/>
          <w:sz w:val="18"/>
          <w:szCs w:val="20"/>
        </w:rPr>
      </w:pPr>
      <w:r>
        <w:rPr>
          <w:sz w:val="18"/>
          <w:szCs w:val="20"/>
        </w:rPr>
        <w:t>7、甲乙双方均应建立详细的内部保密制度，并提供培训、检查等方式确保银行卡交易信息和数据的安全，限制数据访问权限并定期或者不定期更换POS机具的使用密码。</w:t>
      </w:r>
    </w:p>
    <w:p w14:paraId="6A1AF47C">
      <w:pPr>
        <w:pStyle w:val="9"/>
        <w:ind w:firstLine="360" w:firstLineChars="200"/>
        <w:rPr>
          <w:rFonts w:hint="eastAsia"/>
          <w:sz w:val="18"/>
          <w:szCs w:val="20"/>
        </w:rPr>
      </w:pPr>
      <w:r>
        <w:rPr>
          <w:sz w:val="18"/>
          <w:szCs w:val="20"/>
        </w:rPr>
        <w:t>8、如乙方存在风险交易（包括但不限于套现或有套现嫌疑、洗单、恶意倒闭、虚假交易、伪造交易、伪卡盗刷交易、盗卡交易、洗钱、因银行卡欺诈交易已被司法机关立案或介入调查）、虚假入网申请、违规移机、境外移机、侧录、银行或司法机构强制解约、已被其他卡组织认定为“高风险商户”、已破产、套用MCC码等行为的，甲方采取暂时冻结结算交易款项、设置收款限额、暂停银行卡交易、收回受理终端等措施，或直接单方解除本协议，并直接扣除相应交易净金额，将相关情况报备给发卡机构、清算机构、人民银行等，并且甲方有权向乙方追偿因上述行为给持卡人、甲方或第三方造成的损失。乙方前述行为导致甲方对既往交易少收取手续费的，甲方有权以既往交易实际应收取手续费双倍的标准向乙方收取相应费用，作为手续费及违约金。甲方有权直接从乙方应收交易净金额中扣除前述损失赔偿、手续费及违约金，并保留进一步向乙方追偿的权利。</w:t>
      </w:r>
    </w:p>
    <w:p w14:paraId="27222864">
      <w:pPr>
        <w:pStyle w:val="9"/>
        <w:ind w:firstLine="360" w:firstLineChars="200"/>
        <w:rPr>
          <w:rFonts w:hint="eastAsia"/>
          <w:sz w:val="18"/>
          <w:szCs w:val="20"/>
        </w:rPr>
      </w:pPr>
      <w:r>
        <w:rPr>
          <w:sz w:val="18"/>
          <w:szCs w:val="20"/>
        </w:rPr>
        <w:t>9、如发生持卡人主张非本人交易及其他无法确定责任人事故造成的争议时，乙方负责协调解决，积极处理善后事宜，且有义务提供证据推翻持卡人主张（如持卡人主张违背事实）。并向甲方提供信息包括但不限于持卡人姓名、联系方式、商品或服务的名称及金额、签购单及其他交易凭证，具体需要提交的证据由甲方视具体行业及情况而定。若乙方提供的证据经甲方判断后不足以推翻持卡人主张的，或无法协调解决持卡人投诉的，或不能证明该交易为持卡人本人或其授权的交易的，为保障持卡人的利益，甲方有权从乙方交易净金额中扣除拒付金额（即持卡人主张非本人交易所涉金额）并退还给持卡人，当交易净金额不足时，由乙方在甲方要求的时间内另行支付给甲方或直接支付给持卡人。如甲方已经承担损失，甲方有权从乙方后续交易净金额中抵扣相应款项或向乙方追索。</w:t>
      </w:r>
    </w:p>
    <w:p w14:paraId="64745B05">
      <w:pPr>
        <w:pStyle w:val="9"/>
        <w:ind w:firstLine="360" w:firstLineChars="200"/>
        <w:rPr>
          <w:rFonts w:hint="eastAsia"/>
          <w:sz w:val="18"/>
          <w:szCs w:val="20"/>
        </w:rPr>
      </w:pPr>
      <w:r>
        <w:rPr>
          <w:sz w:val="18"/>
          <w:szCs w:val="20"/>
        </w:rPr>
        <w:t>10、若甲方经技术等手段认为某笔交易为疑似风险交易的，包括发现乙方的交易金额、时间、频率与乙方的经营范围、规模不相符等异常情形的，有权采取暂时冻结结算交易款项、设置收款限额、暂停银行卡交易、收回受理终端等措施。针对因疑似风险交易冻结的款项，冻结期限为180天。经后期确认为非风险交易的，相应金额应予以解冻或退还给乙方，在冻结或退还之前交易发生投诉或拒付的参照以上第五条第9款条执行。</w:t>
      </w:r>
    </w:p>
    <w:p w14:paraId="5ED4AEB9">
      <w:pPr>
        <w:ind w:firstLine="360" w:firstLineChars="200"/>
        <w:rPr>
          <w:rFonts w:hint="eastAsia"/>
          <w:b/>
          <w:bCs/>
          <w:sz w:val="18"/>
          <w:szCs w:val="20"/>
        </w:rPr>
      </w:pPr>
    </w:p>
    <w:p w14:paraId="203FDC3B">
      <w:pPr>
        <w:ind w:firstLine="360" w:firstLineChars="200"/>
        <w:rPr>
          <w:rFonts w:hint="eastAsia"/>
          <w:b/>
          <w:bCs/>
          <w:sz w:val="18"/>
          <w:szCs w:val="20"/>
        </w:rPr>
      </w:pPr>
      <w:r>
        <w:rPr>
          <w:b/>
          <w:bCs/>
          <w:sz w:val="18"/>
          <w:szCs w:val="20"/>
        </w:rPr>
        <w:t>第六条保密</w:t>
      </w:r>
    </w:p>
    <w:p w14:paraId="4CF081EC">
      <w:pPr>
        <w:pStyle w:val="9"/>
        <w:ind w:firstLine="360" w:firstLineChars="200"/>
        <w:rPr>
          <w:rFonts w:hint="eastAsia"/>
          <w:sz w:val="18"/>
          <w:szCs w:val="20"/>
        </w:rPr>
      </w:pPr>
      <w:r>
        <w:rPr>
          <w:sz w:val="18"/>
          <w:szCs w:val="20"/>
        </w:rPr>
        <w:t>1、甲乙双方对其知悉的对方的保密信息负有保密义务，保密信息包括但不限于以口头、书面、图表或电子方式存在的甲乙双方过去、现在或将来的商业计划、规章制度、财务信息、操作手册、交易数据、用户（持卡人）信息、技术秘密，未经对方的书面同意，不得向第三方泄露或公开，也不得以本协议之外的目的而使用，如依据国家法律、法规、监管规定要求提供的，应及时通知对方；如需向其它任何第三方提供保密信息的，应事先得到对方的许可。对外提供保密信息的，应明确用途、使用时间和具体内容。</w:t>
      </w:r>
    </w:p>
    <w:p w14:paraId="41B5274E">
      <w:pPr>
        <w:pStyle w:val="9"/>
        <w:ind w:firstLine="360" w:firstLineChars="200"/>
        <w:rPr>
          <w:rFonts w:hint="eastAsia"/>
          <w:sz w:val="18"/>
          <w:szCs w:val="20"/>
        </w:rPr>
      </w:pPr>
      <w:r>
        <w:rPr>
          <w:sz w:val="18"/>
          <w:szCs w:val="20"/>
        </w:rPr>
        <w:t>2、下列信息不在保密信息范围内：</w:t>
      </w:r>
    </w:p>
    <w:p w14:paraId="5DB1BCBE">
      <w:pPr>
        <w:pStyle w:val="9"/>
        <w:ind w:firstLine="360" w:firstLineChars="200"/>
        <w:rPr>
          <w:rFonts w:hint="eastAsia"/>
          <w:sz w:val="18"/>
          <w:szCs w:val="20"/>
        </w:rPr>
      </w:pPr>
      <w:r>
        <w:rPr>
          <w:sz w:val="18"/>
          <w:szCs w:val="20"/>
        </w:rPr>
        <w:t>（1）本协议范围外合法地来自于其它渠道的合法信息。</w:t>
      </w:r>
    </w:p>
    <w:p w14:paraId="06A2A3F6">
      <w:pPr>
        <w:pStyle w:val="9"/>
        <w:ind w:firstLine="360" w:firstLineChars="200"/>
        <w:rPr>
          <w:rFonts w:hint="eastAsia"/>
          <w:sz w:val="18"/>
          <w:szCs w:val="20"/>
        </w:rPr>
      </w:pPr>
      <w:r>
        <w:rPr>
          <w:sz w:val="18"/>
          <w:szCs w:val="20"/>
        </w:rPr>
        <w:t>（2）签约前甲乙双方各自合法所有的合法信息。</w:t>
      </w:r>
    </w:p>
    <w:p w14:paraId="2878CD2A">
      <w:pPr>
        <w:pStyle w:val="9"/>
        <w:ind w:firstLine="360" w:firstLineChars="200"/>
        <w:rPr>
          <w:rFonts w:hint="eastAsia"/>
          <w:sz w:val="18"/>
          <w:szCs w:val="20"/>
        </w:rPr>
      </w:pPr>
      <w:r>
        <w:rPr>
          <w:sz w:val="18"/>
          <w:szCs w:val="20"/>
        </w:rPr>
        <w:t>（3）在甲乙双方履行相关约定中所取得的非保密信息。</w:t>
      </w:r>
    </w:p>
    <w:p w14:paraId="3D6391F5">
      <w:pPr>
        <w:pStyle w:val="9"/>
        <w:ind w:firstLine="360" w:firstLineChars="200"/>
        <w:rPr>
          <w:rFonts w:hint="eastAsia"/>
          <w:sz w:val="18"/>
          <w:szCs w:val="20"/>
        </w:rPr>
      </w:pPr>
      <w:r>
        <w:rPr>
          <w:sz w:val="18"/>
          <w:szCs w:val="20"/>
        </w:rPr>
        <w:t>3、以上保密义务的期限为本协议有效期内及本协议终止后五年，如法律法规另有相关规定，按照其规定执行。</w:t>
      </w:r>
    </w:p>
    <w:p w14:paraId="2FE34BB5">
      <w:pPr>
        <w:ind w:firstLine="360" w:firstLineChars="200"/>
        <w:rPr>
          <w:rFonts w:hint="eastAsia"/>
          <w:b/>
          <w:bCs/>
          <w:sz w:val="18"/>
          <w:szCs w:val="20"/>
        </w:rPr>
      </w:pPr>
    </w:p>
    <w:p w14:paraId="3DDC2137">
      <w:pPr>
        <w:ind w:firstLine="360" w:firstLineChars="200"/>
        <w:rPr>
          <w:rFonts w:hint="eastAsia"/>
          <w:b/>
          <w:bCs/>
          <w:sz w:val="18"/>
          <w:szCs w:val="20"/>
        </w:rPr>
      </w:pPr>
      <w:r>
        <w:rPr>
          <w:b/>
          <w:bCs/>
          <w:sz w:val="18"/>
          <w:szCs w:val="20"/>
        </w:rPr>
        <w:t>第七条协议的终止与违约责任</w:t>
      </w:r>
    </w:p>
    <w:p w14:paraId="40F3193E">
      <w:pPr>
        <w:pStyle w:val="9"/>
        <w:ind w:firstLine="360" w:firstLineChars="200"/>
        <w:rPr>
          <w:rFonts w:hint="eastAsia"/>
          <w:sz w:val="18"/>
          <w:szCs w:val="20"/>
        </w:rPr>
      </w:pPr>
      <w:r>
        <w:rPr>
          <w:sz w:val="18"/>
          <w:szCs w:val="20"/>
        </w:rPr>
        <w:t>1、经甲乙双方协商一致本协议可以提前终止。</w:t>
      </w:r>
    </w:p>
    <w:p w14:paraId="491C2655">
      <w:pPr>
        <w:pStyle w:val="9"/>
        <w:ind w:firstLine="360" w:firstLineChars="200"/>
        <w:rPr>
          <w:rFonts w:hint="eastAsia"/>
          <w:sz w:val="18"/>
          <w:szCs w:val="20"/>
        </w:rPr>
      </w:pPr>
      <w:r>
        <w:rPr>
          <w:sz w:val="18"/>
          <w:szCs w:val="20"/>
        </w:rPr>
        <w:t>2、乙方出现下列情况之一的，甲方有权单方面拒绝为乙方提供银行卡交易服务，有权单方解除本协议，关停、注销商户资格：</w:t>
      </w:r>
    </w:p>
    <w:p w14:paraId="57F7574E">
      <w:pPr>
        <w:pStyle w:val="9"/>
        <w:ind w:firstLine="360" w:firstLineChars="200"/>
        <w:rPr>
          <w:rFonts w:hint="eastAsia"/>
          <w:sz w:val="18"/>
          <w:szCs w:val="20"/>
        </w:rPr>
      </w:pPr>
      <w:r>
        <w:rPr>
          <w:sz w:val="18"/>
          <w:szCs w:val="20"/>
        </w:rPr>
        <w:t>（1）乙方违反本协议第三条约定的义务的；</w:t>
      </w:r>
    </w:p>
    <w:p w14:paraId="46DD2FAA">
      <w:pPr>
        <w:pStyle w:val="9"/>
        <w:ind w:firstLine="360" w:firstLineChars="200"/>
        <w:rPr>
          <w:rFonts w:hint="eastAsia"/>
          <w:sz w:val="18"/>
          <w:szCs w:val="20"/>
        </w:rPr>
      </w:pPr>
      <w:r>
        <w:rPr>
          <w:sz w:val="18"/>
          <w:szCs w:val="20"/>
        </w:rPr>
        <w:t>（2）乙方违反本协议第五条“交易安全、第六条“保密义务”中约定的义务的；</w:t>
      </w:r>
    </w:p>
    <w:p w14:paraId="2E7A6EEA">
      <w:pPr>
        <w:pStyle w:val="9"/>
        <w:ind w:firstLine="360" w:firstLineChars="200"/>
        <w:rPr>
          <w:rFonts w:hint="eastAsia"/>
          <w:sz w:val="18"/>
          <w:szCs w:val="20"/>
        </w:rPr>
      </w:pPr>
      <w:r>
        <w:rPr>
          <w:sz w:val="18"/>
          <w:szCs w:val="20"/>
        </w:rPr>
        <w:t>（3）未按约定流程进行银行卡业务受理操作或未按约定配合调查；</w:t>
      </w:r>
    </w:p>
    <w:p w14:paraId="29FDDEE6">
      <w:pPr>
        <w:pStyle w:val="9"/>
        <w:ind w:firstLine="360" w:firstLineChars="200"/>
        <w:rPr>
          <w:rFonts w:hint="eastAsia"/>
          <w:sz w:val="18"/>
          <w:szCs w:val="20"/>
        </w:rPr>
      </w:pPr>
      <w:r>
        <w:rPr>
          <w:sz w:val="18"/>
          <w:szCs w:val="20"/>
        </w:rPr>
        <w:t>（4）自行或与服务商合谋使用虚假伪冒信息进行银行卡业务受理申请、违规套现、恶意透支、进行伪卡盗刷等诈骗活动、洗单、虚假交易等；</w:t>
      </w:r>
    </w:p>
    <w:p w14:paraId="0B5CF9DF">
      <w:pPr>
        <w:pStyle w:val="9"/>
        <w:ind w:firstLine="360" w:firstLineChars="200"/>
        <w:rPr>
          <w:rFonts w:hint="eastAsia"/>
          <w:sz w:val="18"/>
          <w:szCs w:val="20"/>
        </w:rPr>
      </w:pPr>
      <w:r>
        <w:rPr>
          <w:sz w:val="18"/>
          <w:szCs w:val="20"/>
        </w:rPr>
        <w:t>（5）未经甲方或持卡人允许，泄露持卡人交易账号或其它交易信息；</w:t>
      </w:r>
    </w:p>
    <w:p w14:paraId="08EA8B19">
      <w:pPr>
        <w:pStyle w:val="9"/>
        <w:ind w:firstLine="360" w:firstLineChars="200"/>
        <w:rPr>
          <w:rFonts w:hint="eastAsia"/>
          <w:sz w:val="18"/>
          <w:szCs w:val="20"/>
        </w:rPr>
      </w:pPr>
      <w:r>
        <w:rPr>
          <w:sz w:val="18"/>
          <w:szCs w:val="20"/>
        </w:rPr>
        <w:t>（6）利用设备进行欺诈活动，如盗录磁条信息、非法改装银行卡电子设备等；</w:t>
      </w:r>
    </w:p>
    <w:p w14:paraId="28E70291">
      <w:pPr>
        <w:pStyle w:val="9"/>
        <w:ind w:firstLine="360" w:firstLineChars="200"/>
        <w:rPr>
          <w:rFonts w:hint="eastAsia"/>
          <w:sz w:val="18"/>
          <w:szCs w:val="20"/>
        </w:rPr>
      </w:pPr>
      <w:r>
        <w:rPr>
          <w:sz w:val="18"/>
          <w:szCs w:val="20"/>
        </w:rPr>
        <w:t>（7）经营不善，已破产、停业或倒闭，被吊销、注销；</w:t>
      </w:r>
    </w:p>
    <w:p w14:paraId="415A4F44">
      <w:pPr>
        <w:pStyle w:val="9"/>
        <w:ind w:firstLine="360" w:firstLineChars="200"/>
        <w:rPr>
          <w:rFonts w:hint="eastAsia"/>
          <w:sz w:val="18"/>
          <w:szCs w:val="20"/>
        </w:rPr>
      </w:pPr>
      <w:r>
        <w:rPr>
          <w:sz w:val="18"/>
          <w:szCs w:val="20"/>
        </w:rPr>
        <w:t>（8）违反国家有关法律法规、行业自律规定、监管规定、不时的监管要求及甲方相关制度规定；</w:t>
      </w:r>
    </w:p>
    <w:p w14:paraId="409FAE55">
      <w:pPr>
        <w:pStyle w:val="9"/>
        <w:ind w:firstLine="360" w:firstLineChars="200"/>
        <w:rPr>
          <w:rFonts w:hint="eastAsia"/>
          <w:sz w:val="18"/>
          <w:szCs w:val="20"/>
        </w:rPr>
      </w:pPr>
      <w:r>
        <w:rPr>
          <w:sz w:val="18"/>
          <w:szCs w:val="20"/>
        </w:rPr>
        <w:t>（9）侵害甲方声誉或给甲方造成经济损失的；</w:t>
      </w:r>
    </w:p>
    <w:p w14:paraId="48EFC96C">
      <w:pPr>
        <w:pStyle w:val="9"/>
        <w:ind w:firstLine="360" w:firstLineChars="200"/>
        <w:rPr>
          <w:rFonts w:hint="eastAsia"/>
          <w:sz w:val="18"/>
          <w:szCs w:val="20"/>
        </w:rPr>
      </w:pPr>
      <w:r>
        <w:rPr>
          <w:sz w:val="18"/>
          <w:szCs w:val="20"/>
        </w:rPr>
        <w:t>（10）内部人员作案或者与外部人员联合作案实施犯罪行为；</w:t>
      </w:r>
    </w:p>
    <w:p w14:paraId="320F0635">
      <w:pPr>
        <w:pStyle w:val="9"/>
        <w:ind w:firstLine="360" w:firstLineChars="200"/>
        <w:rPr>
          <w:rFonts w:hint="eastAsia"/>
          <w:sz w:val="18"/>
          <w:szCs w:val="20"/>
        </w:rPr>
      </w:pPr>
      <w:r>
        <w:rPr>
          <w:sz w:val="18"/>
          <w:szCs w:val="20"/>
        </w:rPr>
        <w:t>（11）其它甲方认为将为甲方、持卡人、第三方等带来风险或损失的情形；</w:t>
      </w:r>
    </w:p>
    <w:p w14:paraId="056DEE28">
      <w:pPr>
        <w:pStyle w:val="9"/>
        <w:ind w:firstLine="360" w:firstLineChars="200"/>
        <w:rPr>
          <w:rFonts w:hint="eastAsia"/>
          <w:sz w:val="18"/>
          <w:szCs w:val="20"/>
        </w:rPr>
      </w:pPr>
      <w:r>
        <w:rPr>
          <w:sz w:val="18"/>
          <w:szCs w:val="20"/>
        </w:rPr>
        <w:t>（12）乙方涉及诉讼、仲裁、行政处罚，遭受负面舆论或媒体不利曝光等；</w:t>
      </w:r>
    </w:p>
    <w:p w14:paraId="65563245">
      <w:pPr>
        <w:pStyle w:val="9"/>
        <w:ind w:firstLine="360" w:firstLineChars="200"/>
        <w:rPr>
          <w:rFonts w:hint="eastAsia"/>
          <w:sz w:val="18"/>
          <w:szCs w:val="20"/>
        </w:rPr>
      </w:pPr>
      <w:r>
        <w:rPr>
          <w:sz w:val="18"/>
          <w:szCs w:val="20"/>
        </w:rPr>
        <w:t>（13）乙方存在或涉嫌任何违法行为、违约行为或甲方认为继续提供服务将存在风险的。</w:t>
      </w:r>
    </w:p>
    <w:p w14:paraId="36D374AF">
      <w:pPr>
        <w:pStyle w:val="9"/>
        <w:ind w:firstLine="360" w:firstLineChars="200"/>
        <w:rPr>
          <w:rFonts w:hint="eastAsia"/>
          <w:sz w:val="18"/>
          <w:szCs w:val="20"/>
        </w:rPr>
      </w:pPr>
      <w:r>
        <w:rPr>
          <w:sz w:val="18"/>
          <w:szCs w:val="20"/>
        </w:rPr>
        <w:t>以上后果由乙方自行承担责任，若因此给甲方、持卡人及服务商、其他第三方造成损失，乙方负责赔偿。甲方有权按照相关约定暂时冻结相应的交易净金额，从乙方的交易净金额中扣除相应款项赔偿甲方、持卡人及第三方的损失或向乙方追偿。</w:t>
      </w:r>
    </w:p>
    <w:p w14:paraId="69301B76">
      <w:pPr>
        <w:pStyle w:val="9"/>
        <w:ind w:firstLine="360" w:firstLineChars="200"/>
        <w:rPr>
          <w:rFonts w:hint="eastAsia"/>
          <w:sz w:val="18"/>
          <w:szCs w:val="20"/>
        </w:rPr>
      </w:pPr>
      <w:r>
        <w:rPr>
          <w:sz w:val="18"/>
          <w:szCs w:val="20"/>
        </w:rPr>
        <w:t>3、如乙方在开展业务过程中违反本协议任何约定及附件的任何规定，甲方有权单方中止或终止合作。</w:t>
      </w:r>
    </w:p>
    <w:p w14:paraId="65964509">
      <w:pPr>
        <w:ind w:firstLine="360" w:firstLineChars="200"/>
        <w:rPr>
          <w:rFonts w:hint="eastAsia"/>
          <w:b/>
          <w:bCs/>
          <w:sz w:val="18"/>
          <w:szCs w:val="20"/>
        </w:rPr>
      </w:pPr>
      <w:r>
        <w:rPr>
          <w:b/>
          <w:bCs/>
          <w:sz w:val="18"/>
          <w:szCs w:val="20"/>
        </w:rPr>
        <w:t>第八条其它</w:t>
      </w:r>
    </w:p>
    <w:p w14:paraId="50E3659A">
      <w:pPr>
        <w:pStyle w:val="9"/>
        <w:ind w:firstLine="360" w:firstLineChars="200"/>
        <w:rPr>
          <w:rFonts w:hint="eastAsia"/>
          <w:sz w:val="18"/>
          <w:szCs w:val="20"/>
        </w:rPr>
      </w:pPr>
      <w:r>
        <w:rPr>
          <w:sz w:val="18"/>
          <w:szCs w:val="20"/>
        </w:rPr>
        <w:t>1、本协议的内容或根据甲方不时公布的业务政策、商户服务平台（如APP）展示、受理终端提示等进行细化或更改，相关内容构成本协议的补充协议，均对双方产生法律效力，补充协议与本协议不一致的，以补充协议为准。</w:t>
      </w:r>
    </w:p>
    <w:p w14:paraId="3EBD9E09">
      <w:pPr>
        <w:pStyle w:val="9"/>
        <w:ind w:firstLine="360" w:firstLineChars="200"/>
        <w:rPr>
          <w:rFonts w:hint="eastAsia"/>
          <w:sz w:val="18"/>
          <w:szCs w:val="20"/>
        </w:rPr>
      </w:pPr>
      <w:r>
        <w:rPr>
          <w:sz w:val="18"/>
          <w:szCs w:val="20"/>
        </w:rPr>
        <w:t>2、在履行本协议过程中发生的任何争议，应首先由甲乙双方友好协商解决；协商不成的，任何一方均可向甲方住所地人民法院诉讼解决。</w:t>
      </w:r>
    </w:p>
    <w:p w14:paraId="0B6497FD">
      <w:pPr>
        <w:pStyle w:val="9"/>
        <w:ind w:firstLine="360" w:firstLineChars="200"/>
        <w:rPr>
          <w:rFonts w:hint="eastAsia"/>
          <w:sz w:val="18"/>
          <w:szCs w:val="20"/>
        </w:rPr>
      </w:pPr>
      <w:r>
        <w:rPr>
          <w:sz w:val="18"/>
          <w:szCs w:val="20"/>
        </w:rPr>
        <w:t>3、本协议中的任何条款或部分条款因违反中国法律法规、监管政策而无效的，不影响本协议其他条款的效力。</w:t>
      </w:r>
    </w:p>
    <w:p w14:paraId="2D277AC9">
      <w:pPr>
        <w:pStyle w:val="9"/>
        <w:ind w:firstLine="360" w:firstLineChars="200"/>
        <w:rPr>
          <w:rFonts w:hint="eastAsia"/>
          <w:sz w:val="18"/>
          <w:szCs w:val="20"/>
        </w:rPr>
      </w:pPr>
      <w:r>
        <w:rPr>
          <w:sz w:val="18"/>
          <w:szCs w:val="20"/>
        </w:rPr>
        <w:t>4、本协议适用于中华人民共和国颁布的法律、法规以及职能机构的监管规定。</w:t>
      </w:r>
    </w:p>
    <w:p w14:paraId="5E9E3B7F">
      <w:pPr>
        <w:pStyle w:val="9"/>
        <w:ind w:firstLine="360" w:firstLineChars="200"/>
        <w:rPr>
          <w:rFonts w:hint="eastAsia"/>
          <w:sz w:val="18"/>
          <w:szCs w:val="20"/>
        </w:rPr>
      </w:pPr>
      <w:r>
        <w:rPr>
          <w:sz w:val="18"/>
          <w:szCs w:val="20"/>
        </w:rPr>
        <w:t>5、本协议自双方签字、盖章之日起生效，有效期壹年。本协议到期日前的30日内，如双方无任何书面异议，本协议将自动顺延，每次延期壹年，顺延次数不限。本协议一式</w:t>
      </w:r>
      <w:r>
        <w:rPr>
          <w:rFonts w:hint="eastAsia"/>
          <w:sz w:val="18"/>
          <w:szCs w:val="20"/>
        </w:rPr>
        <w:t>贰</w:t>
      </w:r>
      <w:r>
        <w:rPr>
          <w:sz w:val="18"/>
          <w:szCs w:val="20"/>
        </w:rPr>
        <w:t>份，甲方执</w:t>
      </w:r>
      <w:r>
        <w:rPr>
          <w:rFonts w:hint="eastAsia"/>
          <w:sz w:val="18"/>
          <w:szCs w:val="20"/>
        </w:rPr>
        <w:t>一</w:t>
      </w:r>
      <w:r>
        <w:rPr>
          <w:sz w:val="18"/>
          <w:szCs w:val="20"/>
        </w:rPr>
        <w:t>份，乙方执一份，具有同等法律效力。</w:t>
      </w:r>
    </w:p>
    <w:p w14:paraId="775D661A">
      <w:pPr>
        <w:pStyle w:val="9"/>
        <w:ind w:firstLine="360" w:firstLineChars="200"/>
        <w:rPr>
          <w:rFonts w:hint="eastAsia"/>
          <w:sz w:val="18"/>
          <w:szCs w:val="20"/>
        </w:rPr>
      </w:pPr>
      <w:r>
        <w:rPr>
          <w:sz w:val="18"/>
          <w:szCs w:val="20"/>
        </w:rPr>
        <w:t>(以下无正文)</w:t>
      </w:r>
    </w:p>
    <w:p w14:paraId="5522F405">
      <w:pPr>
        <w:pStyle w:val="9"/>
        <w:ind w:firstLine="360" w:firstLineChars="200"/>
        <w:rPr>
          <w:rFonts w:hint="eastAsia"/>
          <w:sz w:val="18"/>
          <w:szCs w:val="20"/>
        </w:rPr>
      </w:pPr>
    </w:p>
    <w:p w14:paraId="38F85855">
      <w:pPr>
        <w:pStyle w:val="9"/>
        <w:ind w:firstLine="360" w:firstLineChars="200"/>
        <w:rPr>
          <w:rFonts w:hint="eastAsia"/>
          <w:sz w:val="18"/>
          <w:szCs w:val="20"/>
        </w:rPr>
      </w:pPr>
    </w:p>
    <w:p w14:paraId="2A6179AA">
      <w:pPr>
        <w:pStyle w:val="9"/>
        <w:ind w:firstLine="360" w:firstLineChars="200"/>
        <w:rPr>
          <w:rFonts w:hint="eastAsia"/>
          <w:sz w:val="18"/>
          <w:szCs w:val="20"/>
        </w:rPr>
      </w:pPr>
    </w:p>
    <w:p w14:paraId="78853EDA">
      <w:pPr>
        <w:pStyle w:val="9"/>
        <w:ind w:firstLine="360" w:firstLineChars="200"/>
        <w:rPr>
          <w:rFonts w:hint="eastAsia"/>
          <w:sz w:val="18"/>
          <w:szCs w:val="20"/>
        </w:rPr>
      </w:pPr>
    </w:p>
    <w:p w14:paraId="2AC93811">
      <w:pPr>
        <w:pStyle w:val="9"/>
        <w:ind w:firstLine="360" w:firstLineChars="200"/>
        <w:rPr>
          <w:rFonts w:hint="eastAsia"/>
          <w:sz w:val="18"/>
          <w:szCs w:val="20"/>
        </w:rPr>
      </w:pPr>
      <w:r>
        <w:rPr>
          <w:rFonts w:hint="eastAsia"/>
          <w:sz w:val="18"/>
          <w:szCs w:val="20"/>
        </w:rPr>
        <w:t>甲方（盖章）：卡友支付服务有限公司                乙方（盖章）：</w:t>
      </w:r>
    </w:p>
    <w:p w14:paraId="0C4A80B7">
      <w:pPr>
        <w:pStyle w:val="9"/>
        <w:ind w:firstLine="360" w:firstLineChars="200"/>
        <w:rPr>
          <w:sz w:val="18"/>
          <w:szCs w:val="20"/>
        </w:rPr>
      </w:pPr>
      <w:r>
        <w:rPr>
          <w:rFonts w:hint="eastAsia"/>
          <w:sz w:val="18"/>
          <w:szCs w:val="20"/>
        </w:rPr>
        <w:t>授权人签字：                                     授权人签字：</w:t>
      </w:r>
    </w:p>
    <w:p w14:paraId="559108E2">
      <w:pPr>
        <w:pStyle w:val="9"/>
        <w:ind w:firstLine="360" w:firstLineChars="200"/>
        <w:rPr>
          <w:rFonts w:hint="eastAsia"/>
          <w:sz w:val="18"/>
          <w:szCs w:val="20"/>
        </w:rPr>
      </w:pPr>
      <w:r>
        <w:rPr>
          <w:rFonts w:hint="eastAsia"/>
          <w:sz w:val="18"/>
          <w:szCs w:val="20"/>
        </w:rPr>
        <w:t>签约日期：                                       签约日期：</w:t>
      </w:r>
    </w:p>
    <w:p w14:paraId="0478BC38">
      <w:pPr>
        <w:pStyle w:val="9"/>
        <w:ind w:firstLine="360" w:firstLineChars="200"/>
        <w:rPr>
          <w:rFonts w:hint="eastAsia"/>
          <w:sz w:val="18"/>
          <w:szCs w:val="20"/>
        </w:rPr>
      </w:pPr>
    </w:p>
    <w:p w14:paraId="1ECB8B47">
      <w:pPr>
        <w:pStyle w:val="9"/>
        <w:ind w:firstLine="360" w:firstLineChars="200"/>
        <w:rPr>
          <w:rFonts w:hint="eastAsia"/>
          <w:sz w:val="18"/>
          <w:szCs w:val="20"/>
        </w:rPr>
      </w:pPr>
    </w:p>
    <w:p w14:paraId="26D9743B">
      <w:pPr>
        <w:pStyle w:val="9"/>
        <w:ind w:firstLine="360" w:firstLineChars="200"/>
        <w:rPr>
          <w:rFonts w:hint="eastAsia"/>
          <w:sz w:val="18"/>
          <w:szCs w:val="20"/>
        </w:rPr>
      </w:pPr>
    </w:p>
    <w:p w14:paraId="7F4CC4A3">
      <w:pPr>
        <w:pStyle w:val="9"/>
        <w:ind w:firstLine="360" w:firstLineChars="200"/>
        <w:rPr>
          <w:rFonts w:hint="eastAsia"/>
          <w:sz w:val="18"/>
          <w:szCs w:val="20"/>
        </w:rPr>
      </w:pPr>
    </w:p>
    <w:p w14:paraId="3F208CD0">
      <w:pPr>
        <w:pStyle w:val="9"/>
        <w:ind w:firstLine="360" w:firstLineChars="200"/>
        <w:rPr>
          <w:rFonts w:hint="eastAsia"/>
          <w:sz w:val="18"/>
          <w:szCs w:val="20"/>
        </w:rPr>
      </w:pPr>
    </w:p>
    <w:p w14:paraId="5EC6DB1B">
      <w:pPr>
        <w:pStyle w:val="9"/>
        <w:ind w:firstLine="360" w:firstLineChars="200"/>
        <w:rPr>
          <w:rFonts w:hint="eastAsia"/>
          <w:sz w:val="18"/>
          <w:szCs w:val="20"/>
        </w:rPr>
      </w:pPr>
    </w:p>
    <w:p w14:paraId="0DD088F5">
      <w:pPr>
        <w:pStyle w:val="9"/>
        <w:ind w:firstLine="360" w:firstLineChars="200"/>
        <w:rPr>
          <w:rFonts w:hint="eastAsia"/>
          <w:sz w:val="18"/>
          <w:szCs w:val="20"/>
        </w:rPr>
      </w:pPr>
    </w:p>
    <w:p w14:paraId="1422D2EF">
      <w:pPr>
        <w:pStyle w:val="9"/>
        <w:ind w:firstLine="360" w:firstLineChars="200"/>
        <w:rPr>
          <w:rFonts w:hint="eastAsia"/>
          <w:sz w:val="18"/>
          <w:szCs w:val="20"/>
        </w:rPr>
      </w:pPr>
    </w:p>
    <w:p w14:paraId="1702C995">
      <w:pPr>
        <w:pStyle w:val="9"/>
        <w:ind w:firstLine="360" w:firstLineChars="200"/>
        <w:rPr>
          <w:rFonts w:hint="eastAsia"/>
          <w:sz w:val="18"/>
          <w:szCs w:val="20"/>
        </w:rPr>
      </w:pPr>
    </w:p>
    <w:p w14:paraId="60FC19CA">
      <w:pPr>
        <w:pStyle w:val="9"/>
        <w:ind w:firstLine="360" w:firstLineChars="200"/>
        <w:rPr>
          <w:rFonts w:hint="eastAsia"/>
          <w:sz w:val="18"/>
          <w:szCs w:val="20"/>
        </w:rPr>
      </w:pPr>
    </w:p>
    <w:p w14:paraId="42765138">
      <w:pPr>
        <w:pStyle w:val="9"/>
        <w:ind w:firstLine="360" w:firstLineChars="200"/>
        <w:rPr>
          <w:rFonts w:hint="eastAsia"/>
          <w:sz w:val="18"/>
          <w:szCs w:val="20"/>
        </w:rPr>
      </w:pPr>
    </w:p>
    <w:p w14:paraId="5016AE54">
      <w:pPr>
        <w:pStyle w:val="9"/>
        <w:ind w:firstLine="360" w:firstLineChars="200"/>
        <w:rPr>
          <w:rFonts w:hint="eastAsia"/>
          <w:sz w:val="18"/>
          <w:szCs w:val="20"/>
        </w:rPr>
      </w:pPr>
    </w:p>
    <w:p w14:paraId="112AB651">
      <w:pPr>
        <w:pStyle w:val="9"/>
        <w:ind w:firstLine="360" w:firstLineChars="200"/>
        <w:rPr>
          <w:rFonts w:hint="eastAsia"/>
          <w:sz w:val="18"/>
          <w:szCs w:val="20"/>
        </w:rPr>
      </w:pPr>
    </w:p>
    <w:p w14:paraId="2EA1072F">
      <w:pPr>
        <w:pStyle w:val="9"/>
        <w:ind w:firstLine="360" w:firstLineChars="200"/>
        <w:rPr>
          <w:rFonts w:hint="eastAsia"/>
          <w:sz w:val="18"/>
          <w:szCs w:val="20"/>
        </w:rPr>
      </w:pPr>
    </w:p>
    <w:p w14:paraId="729D7408">
      <w:pPr>
        <w:pStyle w:val="9"/>
        <w:ind w:firstLine="360" w:firstLineChars="200"/>
        <w:rPr>
          <w:rFonts w:hint="eastAsia"/>
          <w:sz w:val="18"/>
          <w:szCs w:val="20"/>
        </w:rPr>
      </w:pPr>
    </w:p>
    <w:p w14:paraId="1D794E92">
      <w:pPr>
        <w:pStyle w:val="9"/>
        <w:ind w:firstLine="360" w:firstLineChars="200"/>
        <w:rPr>
          <w:rFonts w:hint="eastAsia"/>
          <w:sz w:val="18"/>
          <w:szCs w:val="20"/>
        </w:rPr>
      </w:pPr>
    </w:p>
    <w:p w14:paraId="7BE1C176">
      <w:pPr>
        <w:pStyle w:val="9"/>
        <w:ind w:firstLine="360" w:firstLineChars="200"/>
        <w:rPr>
          <w:rFonts w:hint="eastAsia"/>
          <w:sz w:val="18"/>
          <w:szCs w:val="20"/>
        </w:rPr>
      </w:pPr>
    </w:p>
    <w:p w14:paraId="414F6B01">
      <w:pPr>
        <w:pStyle w:val="9"/>
        <w:ind w:firstLine="360" w:firstLineChars="200"/>
        <w:rPr>
          <w:rFonts w:hint="eastAsia"/>
          <w:sz w:val="18"/>
          <w:szCs w:val="20"/>
        </w:rPr>
      </w:pPr>
    </w:p>
    <w:p w14:paraId="51C7EDA9">
      <w:pPr>
        <w:pStyle w:val="9"/>
        <w:ind w:firstLine="360" w:firstLineChars="200"/>
        <w:rPr>
          <w:rFonts w:hint="eastAsia"/>
          <w:sz w:val="18"/>
          <w:szCs w:val="20"/>
        </w:rPr>
      </w:pPr>
    </w:p>
    <w:p w14:paraId="7DF55631">
      <w:pPr>
        <w:pStyle w:val="9"/>
        <w:ind w:firstLine="360" w:firstLineChars="200"/>
        <w:rPr>
          <w:rFonts w:hint="eastAsia"/>
          <w:sz w:val="18"/>
          <w:szCs w:val="20"/>
        </w:rPr>
      </w:pPr>
    </w:p>
    <w:p w14:paraId="47F881EC">
      <w:pPr>
        <w:pStyle w:val="9"/>
        <w:ind w:firstLine="360" w:firstLineChars="200"/>
        <w:rPr>
          <w:rFonts w:hint="eastAsia"/>
          <w:sz w:val="18"/>
          <w:szCs w:val="20"/>
        </w:rPr>
      </w:pPr>
    </w:p>
    <w:p w14:paraId="239D18C5">
      <w:pPr>
        <w:pStyle w:val="9"/>
        <w:ind w:firstLine="360" w:firstLineChars="200"/>
        <w:rPr>
          <w:rFonts w:hint="eastAsia"/>
          <w:sz w:val="18"/>
          <w:szCs w:val="20"/>
        </w:rPr>
      </w:pPr>
    </w:p>
    <w:p w14:paraId="5CCC15D5">
      <w:pPr>
        <w:pStyle w:val="9"/>
        <w:ind w:firstLine="360" w:firstLineChars="200"/>
        <w:rPr>
          <w:rFonts w:hint="eastAsia"/>
          <w:sz w:val="18"/>
          <w:szCs w:val="20"/>
        </w:rPr>
      </w:pPr>
    </w:p>
    <w:p w14:paraId="1C6E652C">
      <w:pPr>
        <w:pStyle w:val="9"/>
        <w:ind w:firstLine="360" w:firstLineChars="200"/>
        <w:rPr>
          <w:rFonts w:hint="eastAsia"/>
          <w:sz w:val="18"/>
          <w:szCs w:val="20"/>
        </w:rPr>
      </w:pPr>
    </w:p>
    <w:p w14:paraId="522C05D3">
      <w:pPr>
        <w:pStyle w:val="9"/>
        <w:ind w:firstLine="360" w:firstLineChars="200"/>
        <w:rPr>
          <w:rFonts w:hint="eastAsia"/>
          <w:sz w:val="18"/>
          <w:szCs w:val="20"/>
        </w:rPr>
      </w:pPr>
    </w:p>
    <w:p w14:paraId="7F1FCDE5">
      <w:pPr>
        <w:spacing w:after="0" w:line="400" w:lineRule="exact"/>
        <w:jc w:val="both"/>
        <w:rPr>
          <w:rFonts w:hint="eastAsia" w:ascii="宋体" w:hAnsi="宋体" w:eastAsia="宋体" w:cs="宋体"/>
          <w:b/>
          <w:bCs/>
          <w:color w:val="030303"/>
          <w:spacing w:val="19"/>
          <w:position w:val="-1"/>
          <w:szCs w:val="22"/>
        </w:rPr>
      </w:pPr>
      <w:r>
        <w:rPr>
          <w:rFonts w:hint="eastAsia" w:ascii="宋体" w:hAnsi="宋体" w:eastAsia="宋体" w:cs="宋体"/>
          <w:b/>
          <w:bCs/>
          <w:color w:val="030303"/>
          <w:spacing w:val="19"/>
          <w:position w:val="-1"/>
          <w:szCs w:val="22"/>
        </w:rPr>
        <w:t>附件一：</w:t>
      </w:r>
    </w:p>
    <w:p w14:paraId="421CC5BA">
      <w:pPr>
        <w:spacing w:after="0" w:line="400" w:lineRule="exact"/>
        <w:jc w:val="center"/>
        <w:rPr>
          <w:rFonts w:ascii="宋体" w:hAnsi="宋体" w:eastAsia="宋体" w:cs="宋体"/>
          <w:b/>
          <w:bCs/>
          <w:color w:val="030303"/>
          <w:spacing w:val="-2"/>
          <w:sz w:val="28"/>
          <w:szCs w:val="28"/>
        </w:rPr>
      </w:pPr>
      <w:r>
        <w:rPr>
          <w:rFonts w:hint="eastAsia" w:ascii="宋体" w:hAnsi="宋体" w:eastAsia="宋体" w:cs="宋体"/>
          <w:b/>
          <w:bCs/>
          <w:color w:val="030303"/>
          <w:spacing w:val="19"/>
          <w:position w:val="-1"/>
          <w:sz w:val="28"/>
          <w:szCs w:val="28"/>
        </w:rPr>
        <w:t>卡友支付特约商户注册登记表</w:t>
      </w:r>
    </w:p>
    <w:p w14:paraId="4047038F">
      <w:pPr>
        <w:spacing w:after="0" w:line="400" w:lineRule="exact"/>
        <w:rPr>
          <w:rFonts w:hint="eastAsia" w:ascii="宋体" w:hAnsi="宋体" w:eastAsia="宋体" w:cs="宋体"/>
          <w:b/>
          <w:bCs/>
          <w:color w:val="030303"/>
          <w:spacing w:val="-2"/>
          <w:sz w:val="28"/>
          <w:szCs w:val="28"/>
        </w:rPr>
      </w:pPr>
      <w:r>
        <w:rPr>
          <w:rFonts w:ascii="宋体" w:hAnsi="宋体" w:eastAsia="宋体" w:cs="宋体"/>
          <w:color w:val="030303"/>
          <w:spacing w:val="-2"/>
          <w:sz w:val="21"/>
          <w:szCs w:val="21"/>
        </w:rPr>
        <w:t>填表日期：     年</w:t>
      </w:r>
      <w:r>
        <w:rPr>
          <w:rFonts w:ascii="宋体" w:hAnsi="宋体" w:eastAsia="宋体" w:cs="宋体"/>
          <w:color w:val="030303"/>
          <w:spacing w:val="3"/>
          <w:sz w:val="21"/>
          <w:szCs w:val="21"/>
        </w:rPr>
        <w:t xml:space="preserve">     </w:t>
      </w:r>
      <w:r>
        <w:rPr>
          <w:rFonts w:ascii="宋体" w:hAnsi="宋体" w:eastAsia="宋体" w:cs="宋体"/>
          <w:color w:val="030303"/>
          <w:spacing w:val="-2"/>
          <w:sz w:val="21"/>
          <w:szCs w:val="21"/>
        </w:rPr>
        <w:t>月</w:t>
      </w:r>
      <w:r>
        <w:rPr>
          <w:rFonts w:ascii="宋体" w:hAnsi="宋体" w:eastAsia="宋体" w:cs="宋体"/>
          <w:color w:val="030303"/>
          <w:spacing w:val="6"/>
          <w:sz w:val="21"/>
          <w:szCs w:val="21"/>
        </w:rPr>
        <w:t xml:space="preserve">     </w:t>
      </w:r>
      <w:r>
        <w:rPr>
          <w:rFonts w:ascii="宋体" w:hAnsi="宋体" w:eastAsia="宋体" w:cs="宋体"/>
          <w:color w:val="030303"/>
          <w:spacing w:val="-2"/>
          <w:sz w:val="21"/>
          <w:szCs w:val="21"/>
        </w:rPr>
        <w:t>日</w:t>
      </w:r>
    </w:p>
    <w:tbl>
      <w:tblPr>
        <w:tblStyle w:val="11"/>
        <w:tblpPr w:leftFromText="180" w:rightFromText="180" w:vertAnchor="text" w:horzAnchor="margin" w:tblpXSpec="center" w:tblpY="183"/>
        <w:tblOverlap w:val="never"/>
        <w:tblW w:w="10089" w:type="dxa"/>
        <w:tblInd w:w="0" w:type="dxa"/>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Layout w:type="fixed"/>
        <w:tblCellMar>
          <w:top w:w="0" w:type="dxa"/>
          <w:left w:w="0" w:type="dxa"/>
          <w:bottom w:w="0" w:type="dxa"/>
          <w:right w:w="0" w:type="dxa"/>
        </w:tblCellMar>
      </w:tblPr>
      <w:tblGrid>
        <w:gridCol w:w="560"/>
        <w:gridCol w:w="1841"/>
        <w:gridCol w:w="2749"/>
        <w:gridCol w:w="1651"/>
        <w:gridCol w:w="1129"/>
        <w:gridCol w:w="2159"/>
      </w:tblGrid>
      <w:tr w14:paraId="624BCAAD">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538" w:hRule="atLeast"/>
        </w:trPr>
        <w:tc>
          <w:tcPr>
            <w:tcW w:w="560" w:type="dxa"/>
            <w:tcBorders>
              <w:bottom w:val="single" w:color="auto" w:sz="4" w:space="0"/>
            </w:tcBorders>
            <w:textDirection w:val="tbRlV"/>
            <w:vAlign w:val="center"/>
          </w:tcPr>
          <w:p w14:paraId="7F604B15">
            <w:pPr>
              <w:pStyle w:val="10"/>
              <w:spacing w:after="0" w:line="240" w:lineRule="exact"/>
              <w:jc w:val="center"/>
              <w:rPr>
                <w:rFonts w:hint="eastAsia"/>
              </w:rPr>
            </w:pPr>
            <w:r>
              <w:rPr>
                <w:rFonts w:hint="eastAsia"/>
                <w:color w:val="030303"/>
                <w:spacing w:val="2"/>
                <w:lang w:eastAsia="zh-CN"/>
              </w:rPr>
              <w:t>类型</w:t>
            </w:r>
          </w:p>
        </w:tc>
        <w:tc>
          <w:tcPr>
            <w:tcW w:w="9529" w:type="dxa"/>
            <w:gridSpan w:val="5"/>
            <w:tcBorders>
              <w:bottom w:val="single" w:color="auto" w:sz="4" w:space="0"/>
            </w:tcBorders>
            <w:vAlign w:val="center"/>
          </w:tcPr>
          <w:p w14:paraId="2C2D5612">
            <w:pPr>
              <w:pStyle w:val="10"/>
              <w:spacing w:after="0" w:line="240" w:lineRule="exact"/>
              <w:ind w:left="663"/>
              <w:jc w:val="both"/>
              <w:rPr>
                <w:rFonts w:hint="eastAsia"/>
                <w:lang w:eastAsia="zh-CN"/>
              </w:rPr>
            </w:pPr>
            <w:r>
              <w:rPr>
                <w:color w:val="030303"/>
                <w:spacing w:val="-6"/>
                <w:lang w:eastAsia="zh-CN"/>
              </w:rPr>
              <w:t>□</w:t>
            </w:r>
            <w:r>
              <w:rPr>
                <w:color w:val="030303"/>
                <w:spacing w:val="54"/>
                <w:lang w:eastAsia="zh-CN"/>
              </w:rPr>
              <w:t xml:space="preserve"> </w:t>
            </w:r>
            <w:r>
              <w:rPr>
                <w:color w:val="030303"/>
                <w:spacing w:val="-6"/>
                <w:lang w:eastAsia="zh-CN"/>
              </w:rPr>
              <w:t>新开商户</w:t>
            </w:r>
            <w:r>
              <w:rPr>
                <w:color w:val="030303"/>
                <w:spacing w:val="3"/>
                <w:lang w:eastAsia="zh-CN"/>
              </w:rPr>
              <w:t xml:space="preserve">        </w:t>
            </w:r>
            <w:r>
              <w:rPr>
                <w:color w:val="030303"/>
                <w:spacing w:val="-6"/>
                <w:lang w:eastAsia="zh-CN"/>
              </w:rPr>
              <w:t>□ 增加终端</w:t>
            </w:r>
          </w:p>
        </w:tc>
      </w:tr>
      <w:tr w14:paraId="36609C56">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449" w:hRule="atLeast"/>
        </w:trPr>
        <w:tc>
          <w:tcPr>
            <w:tcW w:w="560"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0AB3C65">
            <w:pPr>
              <w:pStyle w:val="10"/>
              <w:spacing w:after="0" w:line="240" w:lineRule="exact"/>
              <w:jc w:val="center"/>
              <w:rPr>
                <w:rFonts w:hint="eastAsia"/>
              </w:rPr>
            </w:pPr>
            <w:r>
              <w:rPr>
                <w:color w:val="030303"/>
              </w:rPr>
              <w:t>商 户 经</w:t>
            </w:r>
            <w:r>
              <w:rPr>
                <w:color w:val="030303"/>
                <w:spacing w:val="-4"/>
              </w:rPr>
              <w:t xml:space="preserve"> </w:t>
            </w:r>
            <w:r>
              <w:rPr>
                <w:color w:val="030303"/>
              </w:rPr>
              <w:t>营</w:t>
            </w:r>
            <w:r>
              <w:rPr>
                <w:color w:val="030303"/>
                <w:spacing w:val="-5"/>
              </w:rPr>
              <w:t xml:space="preserve"> </w:t>
            </w:r>
            <w:r>
              <w:rPr>
                <w:color w:val="030303"/>
              </w:rPr>
              <w:t>信</w:t>
            </w:r>
            <w:r>
              <w:rPr>
                <w:color w:val="030303"/>
                <w:spacing w:val="-6"/>
              </w:rPr>
              <w:t xml:space="preserve"> </w:t>
            </w:r>
            <w:r>
              <w:rPr>
                <w:color w:val="030303"/>
              </w:rPr>
              <w:t>息</w:t>
            </w:r>
          </w:p>
        </w:tc>
        <w:tc>
          <w:tcPr>
            <w:tcW w:w="1841" w:type="dxa"/>
            <w:tcBorders>
              <w:top w:val="single" w:color="auto" w:sz="4" w:space="0"/>
              <w:left w:val="single" w:color="auto" w:sz="4" w:space="0"/>
              <w:bottom w:val="single" w:color="auto" w:sz="4" w:space="0"/>
              <w:right w:val="single" w:color="auto" w:sz="4" w:space="0"/>
            </w:tcBorders>
            <w:vAlign w:val="center"/>
          </w:tcPr>
          <w:p w14:paraId="1438B79A">
            <w:pPr>
              <w:pStyle w:val="10"/>
              <w:spacing w:after="0" w:line="240" w:lineRule="exact"/>
              <w:ind w:left="511"/>
              <w:jc w:val="both"/>
              <w:rPr>
                <w:rFonts w:hint="eastAsia"/>
              </w:rPr>
            </w:pPr>
            <w:r>
              <w:rPr>
                <w:color w:val="030303"/>
                <w:spacing w:val="-3"/>
              </w:rPr>
              <w:t>商户名称</w:t>
            </w:r>
          </w:p>
        </w:tc>
        <w:tc>
          <w:tcPr>
            <w:tcW w:w="2749" w:type="dxa"/>
            <w:tcBorders>
              <w:top w:val="single" w:color="auto" w:sz="4" w:space="0"/>
              <w:left w:val="single" w:color="auto" w:sz="4" w:space="0"/>
              <w:bottom w:val="single" w:color="auto" w:sz="4" w:space="0"/>
              <w:right w:val="single" w:color="auto" w:sz="4" w:space="0"/>
            </w:tcBorders>
            <w:vAlign w:val="center"/>
          </w:tcPr>
          <w:p w14:paraId="5EE8384E">
            <w:pPr>
              <w:spacing w:after="0" w:line="240" w:lineRule="exact"/>
              <w:jc w:val="center"/>
              <w:rPr>
                <w:rFonts w:hint="eastAsia" w:ascii="Arial"/>
                <w:sz w:val="21"/>
              </w:rPr>
            </w:pPr>
          </w:p>
        </w:tc>
        <w:tc>
          <w:tcPr>
            <w:tcW w:w="1651" w:type="dxa"/>
            <w:tcBorders>
              <w:top w:val="single" w:color="auto" w:sz="4" w:space="0"/>
              <w:left w:val="single" w:color="auto" w:sz="4" w:space="0"/>
              <w:bottom w:val="single" w:color="auto" w:sz="4" w:space="0"/>
              <w:right w:val="single" w:color="auto" w:sz="4" w:space="0"/>
            </w:tcBorders>
            <w:vAlign w:val="center"/>
          </w:tcPr>
          <w:p w14:paraId="0DC4EC5E">
            <w:pPr>
              <w:pStyle w:val="10"/>
              <w:spacing w:after="0" w:line="240" w:lineRule="exact"/>
              <w:jc w:val="center"/>
              <w:rPr>
                <w:rFonts w:hint="eastAsia"/>
              </w:rPr>
            </w:pPr>
            <w:r>
              <w:rPr>
                <w:color w:val="030303"/>
                <w:spacing w:val="-3"/>
              </w:rPr>
              <w:t>商户</w:t>
            </w:r>
            <w:r>
              <w:rPr>
                <w:rFonts w:hint="eastAsia"/>
                <w:color w:val="030303"/>
                <w:spacing w:val="-3"/>
                <w:lang w:eastAsia="zh-CN"/>
              </w:rPr>
              <w:t>品牌名称</w:t>
            </w:r>
          </w:p>
        </w:tc>
        <w:tc>
          <w:tcPr>
            <w:tcW w:w="3288" w:type="dxa"/>
            <w:gridSpan w:val="2"/>
            <w:tcBorders>
              <w:top w:val="single" w:color="auto" w:sz="4" w:space="0"/>
              <w:left w:val="single" w:color="auto" w:sz="4" w:space="0"/>
              <w:bottom w:val="single" w:color="auto" w:sz="4" w:space="0"/>
              <w:right w:val="single" w:color="auto" w:sz="4" w:space="0"/>
            </w:tcBorders>
            <w:vAlign w:val="center"/>
          </w:tcPr>
          <w:p w14:paraId="56AC986E">
            <w:pPr>
              <w:spacing w:after="0" w:line="240" w:lineRule="exact"/>
              <w:jc w:val="both"/>
              <w:rPr>
                <w:rFonts w:hint="eastAsia" w:ascii="Arial"/>
                <w:sz w:val="21"/>
              </w:rPr>
            </w:pPr>
          </w:p>
        </w:tc>
      </w:tr>
      <w:tr w14:paraId="3BB20F3B">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446" w:hRule="atLeast"/>
        </w:trPr>
        <w:tc>
          <w:tcPr>
            <w:tcW w:w="56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35A6A0E">
            <w:pPr>
              <w:spacing w:after="0" w:line="240" w:lineRule="exact"/>
              <w:jc w:val="center"/>
              <w:rPr>
                <w:rFonts w:hint="eastAsia" w:ascii="Arial"/>
                <w:sz w:val="21"/>
              </w:rPr>
            </w:pPr>
          </w:p>
        </w:tc>
        <w:tc>
          <w:tcPr>
            <w:tcW w:w="1841" w:type="dxa"/>
            <w:tcBorders>
              <w:top w:val="single" w:color="auto" w:sz="4" w:space="0"/>
              <w:left w:val="single" w:color="auto" w:sz="4" w:space="0"/>
            </w:tcBorders>
            <w:vAlign w:val="center"/>
          </w:tcPr>
          <w:p w14:paraId="2EA37A9F">
            <w:pPr>
              <w:pStyle w:val="10"/>
              <w:spacing w:after="0" w:line="240" w:lineRule="exact"/>
              <w:ind w:left="198"/>
              <w:jc w:val="both"/>
              <w:rPr>
                <w:rFonts w:hint="eastAsia"/>
              </w:rPr>
            </w:pPr>
            <w:r>
              <w:rPr>
                <w:color w:val="030303"/>
                <w:spacing w:val="-2"/>
              </w:rPr>
              <w:t>营业执照注册号</w:t>
            </w:r>
          </w:p>
        </w:tc>
        <w:tc>
          <w:tcPr>
            <w:tcW w:w="2749" w:type="dxa"/>
            <w:tcBorders>
              <w:top w:val="single" w:color="auto" w:sz="4" w:space="0"/>
            </w:tcBorders>
            <w:vAlign w:val="center"/>
          </w:tcPr>
          <w:p w14:paraId="50A3EFF1">
            <w:pPr>
              <w:spacing w:after="0" w:line="240" w:lineRule="exact"/>
              <w:jc w:val="center"/>
              <w:rPr>
                <w:rFonts w:hint="eastAsia" w:ascii="Arial"/>
                <w:sz w:val="21"/>
              </w:rPr>
            </w:pPr>
          </w:p>
        </w:tc>
        <w:tc>
          <w:tcPr>
            <w:tcW w:w="1651" w:type="dxa"/>
            <w:tcBorders>
              <w:top w:val="single" w:color="auto" w:sz="4" w:space="0"/>
            </w:tcBorders>
            <w:vAlign w:val="center"/>
          </w:tcPr>
          <w:p w14:paraId="3C38C3A6">
            <w:pPr>
              <w:pStyle w:val="10"/>
              <w:spacing w:after="0" w:line="240" w:lineRule="exact"/>
              <w:jc w:val="center"/>
              <w:rPr>
                <w:rFonts w:hint="eastAsia"/>
              </w:rPr>
            </w:pPr>
            <w:r>
              <w:rPr>
                <w:color w:val="030303"/>
                <w:spacing w:val="-2"/>
              </w:rPr>
              <w:t>注册地址</w:t>
            </w:r>
          </w:p>
        </w:tc>
        <w:tc>
          <w:tcPr>
            <w:tcW w:w="3288" w:type="dxa"/>
            <w:gridSpan w:val="2"/>
            <w:tcBorders>
              <w:top w:val="single" w:color="auto" w:sz="4" w:space="0"/>
            </w:tcBorders>
            <w:vAlign w:val="center"/>
          </w:tcPr>
          <w:p w14:paraId="68B67BA3">
            <w:pPr>
              <w:spacing w:after="0" w:line="240" w:lineRule="exact"/>
              <w:jc w:val="both"/>
              <w:rPr>
                <w:rFonts w:hint="eastAsia" w:ascii="Arial"/>
                <w:sz w:val="21"/>
              </w:rPr>
            </w:pPr>
          </w:p>
        </w:tc>
      </w:tr>
      <w:tr w14:paraId="20A1A383">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447" w:hRule="atLeast"/>
        </w:trPr>
        <w:tc>
          <w:tcPr>
            <w:tcW w:w="56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8FF1D4E">
            <w:pPr>
              <w:spacing w:after="0" w:line="240" w:lineRule="exact"/>
              <w:jc w:val="center"/>
              <w:rPr>
                <w:rFonts w:hint="eastAsia" w:ascii="Arial"/>
                <w:sz w:val="21"/>
              </w:rPr>
            </w:pPr>
          </w:p>
        </w:tc>
        <w:tc>
          <w:tcPr>
            <w:tcW w:w="1841" w:type="dxa"/>
            <w:tcBorders>
              <w:left w:val="single" w:color="auto" w:sz="4" w:space="0"/>
            </w:tcBorders>
            <w:vAlign w:val="center"/>
          </w:tcPr>
          <w:p w14:paraId="2E140F21">
            <w:pPr>
              <w:pStyle w:val="10"/>
              <w:spacing w:after="0" w:line="240" w:lineRule="exact"/>
              <w:ind w:left="402"/>
              <w:jc w:val="both"/>
              <w:rPr>
                <w:rFonts w:hint="eastAsia"/>
              </w:rPr>
            </w:pPr>
            <w:r>
              <w:rPr>
                <w:color w:val="030303"/>
                <w:spacing w:val="-1"/>
              </w:rPr>
              <w:t>法定代表人</w:t>
            </w:r>
          </w:p>
        </w:tc>
        <w:tc>
          <w:tcPr>
            <w:tcW w:w="2749" w:type="dxa"/>
            <w:vAlign w:val="center"/>
          </w:tcPr>
          <w:p w14:paraId="52953E01">
            <w:pPr>
              <w:spacing w:after="0" w:line="240" w:lineRule="exact"/>
              <w:jc w:val="center"/>
              <w:rPr>
                <w:rFonts w:hint="eastAsia" w:ascii="Arial"/>
                <w:sz w:val="21"/>
              </w:rPr>
            </w:pPr>
          </w:p>
        </w:tc>
        <w:tc>
          <w:tcPr>
            <w:tcW w:w="1651" w:type="dxa"/>
            <w:vAlign w:val="center"/>
          </w:tcPr>
          <w:p w14:paraId="42787E1C">
            <w:pPr>
              <w:pStyle w:val="10"/>
              <w:spacing w:after="0" w:line="240" w:lineRule="exact"/>
              <w:jc w:val="center"/>
              <w:rPr>
                <w:rFonts w:hint="eastAsia"/>
              </w:rPr>
            </w:pPr>
            <w:r>
              <w:rPr>
                <w:color w:val="030303"/>
                <w:spacing w:val="-2"/>
              </w:rPr>
              <w:t>身份证号码</w:t>
            </w:r>
          </w:p>
        </w:tc>
        <w:tc>
          <w:tcPr>
            <w:tcW w:w="3288" w:type="dxa"/>
            <w:gridSpan w:val="2"/>
            <w:vAlign w:val="center"/>
          </w:tcPr>
          <w:p w14:paraId="238AD888">
            <w:pPr>
              <w:spacing w:after="0" w:line="240" w:lineRule="exact"/>
              <w:jc w:val="both"/>
              <w:rPr>
                <w:rFonts w:hint="eastAsia" w:ascii="Arial"/>
                <w:sz w:val="21"/>
              </w:rPr>
            </w:pPr>
          </w:p>
        </w:tc>
      </w:tr>
      <w:tr w14:paraId="1D42692B">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446" w:hRule="atLeast"/>
        </w:trPr>
        <w:tc>
          <w:tcPr>
            <w:tcW w:w="56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740AA4B7">
            <w:pPr>
              <w:spacing w:after="0" w:line="240" w:lineRule="exact"/>
              <w:jc w:val="center"/>
              <w:rPr>
                <w:rFonts w:hint="eastAsia" w:ascii="Arial"/>
                <w:sz w:val="21"/>
              </w:rPr>
            </w:pPr>
          </w:p>
        </w:tc>
        <w:tc>
          <w:tcPr>
            <w:tcW w:w="1841" w:type="dxa"/>
            <w:tcBorders>
              <w:left w:val="single" w:color="auto" w:sz="4" w:space="0"/>
              <w:bottom w:val="single" w:color="auto" w:sz="4" w:space="0"/>
            </w:tcBorders>
            <w:vAlign w:val="center"/>
          </w:tcPr>
          <w:p w14:paraId="575DEF4C">
            <w:pPr>
              <w:pStyle w:val="10"/>
              <w:spacing w:after="0" w:line="240" w:lineRule="exact"/>
              <w:ind w:left="297" w:firstLine="208" w:firstLineChars="100"/>
              <w:jc w:val="both"/>
              <w:rPr>
                <w:rFonts w:hint="eastAsia"/>
              </w:rPr>
            </w:pPr>
            <w:r>
              <w:rPr>
                <w:color w:val="030303"/>
                <w:spacing w:val="-1"/>
              </w:rPr>
              <w:t>联系人姓名</w:t>
            </w:r>
          </w:p>
        </w:tc>
        <w:tc>
          <w:tcPr>
            <w:tcW w:w="2749" w:type="dxa"/>
            <w:tcBorders>
              <w:bottom w:val="single" w:color="auto" w:sz="4" w:space="0"/>
            </w:tcBorders>
            <w:vAlign w:val="center"/>
          </w:tcPr>
          <w:p w14:paraId="49B22953">
            <w:pPr>
              <w:spacing w:after="0" w:line="240" w:lineRule="exact"/>
              <w:jc w:val="center"/>
              <w:rPr>
                <w:rFonts w:hint="eastAsia" w:ascii="Arial"/>
                <w:sz w:val="21"/>
              </w:rPr>
            </w:pPr>
          </w:p>
        </w:tc>
        <w:tc>
          <w:tcPr>
            <w:tcW w:w="1651" w:type="dxa"/>
            <w:tcBorders>
              <w:bottom w:val="single" w:color="auto" w:sz="4" w:space="0"/>
            </w:tcBorders>
            <w:vAlign w:val="center"/>
          </w:tcPr>
          <w:p w14:paraId="52E83283">
            <w:pPr>
              <w:pStyle w:val="10"/>
              <w:spacing w:after="0" w:line="240" w:lineRule="exact"/>
              <w:jc w:val="center"/>
              <w:rPr>
                <w:rFonts w:hint="eastAsia"/>
              </w:rPr>
            </w:pPr>
            <w:r>
              <w:rPr>
                <w:rFonts w:hint="eastAsia"/>
                <w:color w:val="030303"/>
                <w:spacing w:val="-1"/>
                <w:lang w:eastAsia="zh-CN"/>
              </w:rPr>
              <w:t>联系方式</w:t>
            </w:r>
          </w:p>
        </w:tc>
        <w:tc>
          <w:tcPr>
            <w:tcW w:w="3288" w:type="dxa"/>
            <w:gridSpan w:val="2"/>
            <w:tcBorders>
              <w:bottom w:val="single" w:color="auto" w:sz="4" w:space="0"/>
            </w:tcBorders>
            <w:vAlign w:val="center"/>
          </w:tcPr>
          <w:p w14:paraId="30E6B1DE">
            <w:pPr>
              <w:spacing w:after="0" w:line="240" w:lineRule="exact"/>
              <w:jc w:val="both"/>
              <w:rPr>
                <w:rFonts w:hint="eastAsia" w:ascii="Arial"/>
                <w:sz w:val="21"/>
              </w:rPr>
            </w:pPr>
          </w:p>
        </w:tc>
      </w:tr>
      <w:tr w14:paraId="0B12D2AB">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1162" w:hRule="atLeast"/>
        </w:trPr>
        <w:tc>
          <w:tcPr>
            <w:tcW w:w="560"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17C95018">
            <w:pPr>
              <w:spacing w:after="0" w:line="240" w:lineRule="exact"/>
              <w:jc w:val="center"/>
              <w:rPr>
                <w:rFonts w:hint="eastAsia" w:ascii="Arial"/>
                <w:sz w:val="21"/>
              </w:rPr>
            </w:pPr>
          </w:p>
        </w:tc>
        <w:tc>
          <w:tcPr>
            <w:tcW w:w="1841" w:type="dxa"/>
            <w:tcBorders>
              <w:top w:val="single" w:color="auto" w:sz="4" w:space="0"/>
              <w:left w:val="single" w:color="auto" w:sz="4" w:space="0"/>
              <w:bottom w:val="single" w:color="auto" w:sz="4" w:space="0"/>
              <w:right w:val="single" w:color="auto" w:sz="4" w:space="0"/>
            </w:tcBorders>
            <w:vAlign w:val="center"/>
          </w:tcPr>
          <w:p w14:paraId="21126869">
            <w:pPr>
              <w:pStyle w:val="10"/>
              <w:spacing w:after="0" w:line="240" w:lineRule="exact"/>
              <w:ind w:firstLine="206" w:firstLineChars="100"/>
              <w:jc w:val="both"/>
              <w:rPr>
                <w:rFonts w:hint="eastAsia"/>
                <w:color w:val="030303"/>
                <w:spacing w:val="-1"/>
              </w:rPr>
            </w:pPr>
            <w:r>
              <w:rPr>
                <w:color w:val="030303"/>
                <w:spacing w:val="-2"/>
              </w:rPr>
              <w:t>实际经营范围</w:t>
            </w:r>
          </w:p>
        </w:tc>
        <w:tc>
          <w:tcPr>
            <w:tcW w:w="7688" w:type="dxa"/>
            <w:gridSpan w:val="4"/>
            <w:tcBorders>
              <w:top w:val="single" w:color="auto" w:sz="4" w:space="0"/>
              <w:left w:val="single" w:color="auto" w:sz="4" w:space="0"/>
              <w:bottom w:val="single" w:color="auto" w:sz="4" w:space="0"/>
              <w:right w:val="single" w:color="auto" w:sz="4" w:space="0"/>
            </w:tcBorders>
            <w:vAlign w:val="center"/>
          </w:tcPr>
          <w:p w14:paraId="425D29A1">
            <w:pPr>
              <w:spacing w:after="0" w:line="240" w:lineRule="exact"/>
              <w:jc w:val="both"/>
              <w:rPr>
                <w:rFonts w:hint="eastAsia" w:ascii="Arial"/>
                <w:sz w:val="21"/>
              </w:rPr>
            </w:pPr>
          </w:p>
        </w:tc>
      </w:tr>
      <w:tr w14:paraId="0F05D4CD">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2767" w:hRule="atLeast"/>
        </w:trPr>
        <w:tc>
          <w:tcPr>
            <w:tcW w:w="560" w:type="dxa"/>
            <w:tcBorders>
              <w:top w:val="single" w:color="auto" w:sz="4" w:space="0"/>
              <w:left w:val="single" w:color="auto" w:sz="4" w:space="0"/>
              <w:bottom w:val="single" w:color="auto" w:sz="4" w:space="0"/>
              <w:right w:val="single" w:color="auto" w:sz="4" w:space="0"/>
            </w:tcBorders>
            <w:textDirection w:val="tbRlV"/>
            <w:vAlign w:val="center"/>
          </w:tcPr>
          <w:p w14:paraId="6C28A10B">
            <w:pPr>
              <w:pStyle w:val="10"/>
              <w:spacing w:after="0" w:line="240" w:lineRule="exact"/>
              <w:jc w:val="center"/>
              <w:rPr>
                <w:rFonts w:hint="eastAsia"/>
              </w:rPr>
            </w:pPr>
            <w:r>
              <w:rPr>
                <w:color w:val="030303"/>
              </w:rPr>
              <w:t>指 定 结 算</w:t>
            </w:r>
            <w:r>
              <w:rPr>
                <w:color w:val="030303"/>
                <w:spacing w:val="-3"/>
              </w:rPr>
              <w:t xml:space="preserve"> </w:t>
            </w:r>
            <w:r>
              <w:rPr>
                <w:color w:val="030303"/>
              </w:rPr>
              <w:t>账</w:t>
            </w:r>
            <w:r>
              <w:rPr>
                <w:color w:val="030303"/>
                <w:spacing w:val="-5"/>
              </w:rPr>
              <w:t xml:space="preserve"> </w:t>
            </w:r>
            <w:r>
              <w:rPr>
                <w:color w:val="030303"/>
              </w:rPr>
              <w:t>户</w:t>
            </w:r>
            <w:r>
              <w:rPr>
                <w:color w:val="030303"/>
                <w:spacing w:val="-5"/>
              </w:rPr>
              <w:t xml:space="preserve"> </w:t>
            </w:r>
            <w:r>
              <w:rPr>
                <w:color w:val="030303"/>
              </w:rPr>
              <w:t>授</w:t>
            </w:r>
            <w:r>
              <w:rPr>
                <w:color w:val="030303"/>
                <w:spacing w:val="-5"/>
              </w:rPr>
              <w:t xml:space="preserve"> </w:t>
            </w:r>
            <w:r>
              <w:rPr>
                <w:color w:val="030303"/>
              </w:rPr>
              <w:t>权</w:t>
            </w:r>
            <w:r>
              <w:rPr>
                <w:color w:val="030303"/>
                <w:spacing w:val="-5"/>
              </w:rPr>
              <w:t xml:space="preserve"> </w:t>
            </w:r>
            <w:r>
              <w:rPr>
                <w:color w:val="030303"/>
              </w:rPr>
              <w:t>书</w:t>
            </w:r>
          </w:p>
        </w:tc>
        <w:tc>
          <w:tcPr>
            <w:tcW w:w="9529" w:type="dxa"/>
            <w:gridSpan w:val="5"/>
            <w:tcBorders>
              <w:top w:val="single" w:color="auto" w:sz="4" w:space="0"/>
              <w:left w:val="single" w:color="auto" w:sz="4" w:space="0"/>
            </w:tcBorders>
            <w:vAlign w:val="center"/>
          </w:tcPr>
          <w:p w14:paraId="6DB7024D">
            <w:pPr>
              <w:pStyle w:val="10"/>
              <w:spacing w:after="0" w:line="240" w:lineRule="exact"/>
              <w:ind w:right="100"/>
              <w:jc w:val="both"/>
              <w:rPr>
                <w:rFonts w:hint="eastAsia"/>
                <w:lang w:eastAsia="zh-CN"/>
              </w:rPr>
            </w:pPr>
            <w:r>
              <w:rPr>
                <w:color w:val="030303"/>
                <w:spacing w:val="-1"/>
                <w:lang w:eastAsia="zh-CN"/>
              </w:rPr>
              <w:t>本公司授权</w:t>
            </w:r>
            <w:r>
              <w:rPr>
                <w:rFonts w:hint="eastAsia"/>
                <w:color w:val="030303"/>
                <w:spacing w:val="-1"/>
                <w:lang w:eastAsia="zh-CN"/>
              </w:rPr>
              <w:t>卡友支付服务有限公司</w:t>
            </w:r>
            <w:r>
              <w:rPr>
                <w:color w:val="030303"/>
                <w:spacing w:val="-1"/>
                <w:lang w:eastAsia="zh-CN"/>
              </w:rPr>
              <w:t>将银行卡交易资金结算至我司指定银行账户，具体账户</w:t>
            </w:r>
            <w:r>
              <w:rPr>
                <w:color w:val="030303"/>
                <w:spacing w:val="-2"/>
                <w:lang w:eastAsia="zh-CN"/>
              </w:rPr>
              <w:t>信息为：</w:t>
            </w:r>
          </w:p>
          <w:p w14:paraId="20E045FA">
            <w:pPr>
              <w:pStyle w:val="10"/>
              <w:spacing w:after="0" w:line="240" w:lineRule="exact"/>
              <w:ind w:left="536"/>
              <w:jc w:val="both"/>
              <w:rPr>
                <w:rFonts w:hint="eastAsia"/>
                <w:color w:val="030303"/>
                <w:spacing w:val="-2"/>
                <w:lang w:eastAsia="zh-CN"/>
              </w:rPr>
            </w:pPr>
          </w:p>
          <w:p w14:paraId="2A3E0EA2">
            <w:pPr>
              <w:pStyle w:val="10"/>
              <w:spacing w:after="0" w:line="276" w:lineRule="auto"/>
              <w:ind w:left="115" w:right="101" w:firstLine="421"/>
              <w:jc w:val="both"/>
              <w:rPr>
                <w:rFonts w:hint="eastAsia"/>
                <w:color w:val="030303"/>
                <w:spacing w:val="-1"/>
                <w:u w:val="single"/>
                <w:lang w:eastAsia="zh-CN"/>
              </w:rPr>
            </w:pPr>
            <w:r>
              <w:rPr>
                <w:rFonts w:hint="eastAsia"/>
                <w:color w:val="030303"/>
                <w:spacing w:val="-2"/>
                <w:lang w:eastAsia="zh-CN"/>
              </w:rPr>
              <w:t>结算类型：</w:t>
            </w:r>
            <w:r>
              <w:rPr>
                <w:rFonts w:hint="eastAsia"/>
                <w:color w:val="030303"/>
                <w:spacing w:val="-2"/>
                <w:u w:val="single"/>
                <w:lang w:eastAsia="zh-CN"/>
              </w:rPr>
              <w:t xml:space="preserve">   对公     </w:t>
            </w:r>
            <w:r>
              <w:rPr>
                <w:rFonts w:hint="eastAsia"/>
                <w:color w:val="030303"/>
                <w:spacing w:val="-2"/>
                <w:lang w:eastAsia="zh-CN"/>
              </w:rPr>
              <w:t xml:space="preserve">        </w:t>
            </w:r>
            <w:r>
              <w:rPr>
                <w:rFonts w:hint="eastAsia"/>
                <w:color w:val="030303"/>
                <w:spacing w:val="-1"/>
                <w:lang w:eastAsia="zh-CN"/>
              </w:rPr>
              <w:t>结算周期：</w:t>
            </w:r>
            <w:r>
              <w:rPr>
                <w:rFonts w:hint="eastAsia"/>
                <w:color w:val="030303"/>
                <w:spacing w:val="-1"/>
                <w:u w:val="single"/>
                <w:lang w:eastAsia="zh-CN"/>
              </w:rPr>
              <w:t xml:space="preserve">  T1   </w:t>
            </w:r>
          </w:p>
          <w:p w14:paraId="4D6F1A74">
            <w:pPr>
              <w:pStyle w:val="10"/>
              <w:spacing w:after="0" w:line="276" w:lineRule="auto"/>
              <w:ind w:left="536"/>
              <w:jc w:val="both"/>
              <w:rPr>
                <w:rFonts w:hint="eastAsia"/>
                <w:u w:val="single"/>
                <w:lang w:eastAsia="zh-CN"/>
              </w:rPr>
            </w:pPr>
            <w:r>
              <w:rPr>
                <w:color w:val="030303"/>
                <w:spacing w:val="-2"/>
                <w:lang w:eastAsia="zh-CN"/>
              </w:rPr>
              <w:t>开户行名称</w:t>
            </w:r>
            <w:r>
              <w:rPr>
                <w:rFonts w:hint="eastAsia"/>
                <w:color w:val="030303"/>
                <w:spacing w:val="-2"/>
                <w:lang w:eastAsia="zh-CN"/>
              </w:rPr>
              <w:t>：</w:t>
            </w:r>
            <w:r>
              <w:rPr>
                <w:rFonts w:hint="eastAsia"/>
                <w:color w:val="030303"/>
                <w:spacing w:val="-2"/>
                <w:u w:val="single"/>
                <w:lang w:eastAsia="zh-CN"/>
              </w:rPr>
              <w:t xml:space="preserve">                                   </w:t>
            </w:r>
          </w:p>
          <w:p w14:paraId="3A56A73D">
            <w:pPr>
              <w:pStyle w:val="10"/>
              <w:spacing w:after="0" w:line="276" w:lineRule="auto"/>
              <w:ind w:left="539"/>
              <w:jc w:val="both"/>
              <w:rPr>
                <w:rFonts w:hint="eastAsia"/>
                <w:u w:val="single"/>
                <w:lang w:eastAsia="zh-CN"/>
              </w:rPr>
            </w:pPr>
            <w:r>
              <w:rPr>
                <w:color w:val="030303"/>
                <w:spacing w:val="-2"/>
                <w:lang w:eastAsia="zh-CN"/>
              </w:rPr>
              <w:t>账户名称</w:t>
            </w:r>
            <w:r>
              <w:rPr>
                <w:rFonts w:hint="eastAsia"/>
                <w:color w:val="030303"/>
                <w:spacing w:val="-2"/>
                <w:lang w:eastAsia="zh-CN"/>
              </w:rPr>
              <w:t>：</w:t>
            </w:r>
            <w:r>
              <w:rPr>
                <w:rFonts w:hint="eastAsia"/>
                <w:color w:val="030303"/>
                <w:spacing w:val="-2"/>
                <w:u w:val="single"/>
                <w:lang w:eastAsia="zh-CN"/>
              </w:rPr>
              <w:t xml:space="preserve">                                     </w:t>
            </w:r>
          </w:p>
          <w:p w14:paraId="295A937F">
            <w:pPr>
              <w:pStyle w:val="10"/>
              <w:spacing w:after="0" w:line="276" w:lineRule="auto"/>
              <w:ind w:left="536"/>
              <w:jc w:val="both"/>
              <w:rPr>
                <w:rFonts w:hint="eastAsia" w:ascii="Arial"/>
                <w:lang w:eastAsia="zh-CN"/>
              </w:rPr>
            </w:pPr>
            <w:r>
              <w:rPr>
                <w:color w:val="030303"/>
                <w:spacing w:val="-2"/>
                <w:lang w:eastAsia="zh-CN"/>
              </w:rPr>
              <w:t>银行账号</w:t>
            </w:r>
            <w:r>
              <w:rPr>
                <w:rFonts w:hint="eastAsia"/>
                <w:color w:val="030303"/>
                <w:spacing w:val="-2"/>
                <w:lang w:eastAsia="zh-CN"/>
              </w:rPr>
              <w:t>：</w:t>
            </w:r>
            <w:r>
              <w:rPr>
                <w:rFonts w:hint="eastAsia"/>
                <w:u w:val="single"/>
                <w:lang w:eastAsia="zh-CN"/>
              </w:rPr>
              <w:t xml:space="preserve">                                    </w:t>
            </w:r>
          </w:p>
          <w:p w14:paraId="116C9E69">
            <w:pPr>
              <w:pStyle w:val="10"/>
              <w:spacing w:after="0" w:line="240" w:lineRule="auto"/>
              <w:ind w:right="101" w:firstLine="416" w:firstLineChars="200"/>
              <w:jc w:val="both"/>
              <w:rPr>
                <w:rFonts w:hint="eastAsia"/>
                <w:lang w:eastAsia="zh-CN"/>
              </w:rPr>
            </w:pPr>
            <w:r>
              <w:rPr>
                <w:color w:val="030303"/>
                <w:spacing w:val="-1"/>
                <w:lang w:eastAsia="zh-CN"/>
              </w:rPr>
              <w:t>我</w:t>
            </w:r>
            <w:r>
              <w:rPr>
                <w:rFonts w:hint="eastAsia"/>
                <w:color w:val="030303"/>
                <w:spacing w:val="-1"/>
                <w:lang w:eastAsia="zh-CN"/>
              </w:rPr>
              <w:t>司</w:t>
            </w:r>
            <w:r>
              <w:rPr>
                <w:color w:val="030303"/>
                <w:spacing w:val="-1"/>
                <w:lang w:eastAsia="zh-CN"/>
              </w:rPr>
              <w:t>郑重承诺：不会利用该账户与不良持卡人或其他第三方合作进行洗钱、恐怖融资、赌博、信用卡套现等非法交易。</w:t>
            </w:r>
          </w:p>
        </w:tc>
      </w:tr>
      <w:tr w14:paraId="4D45737B">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1614" w:hRule="atLeast"/>
        </w:trPr>
        <w:tc>
          <w:tcPr>
            <w:tcW w:w="560" w:type="dxa"/>
            <w:tcBorders>
              <w:top w:val="single" w:color="auto" w:sz="4" w:space="0"/>
              <w:left w:val="single" w:color="auto" w:sz="4" w:space="0"/>
              <w:bottom w:val="single" w:color="auto" w:sz="4" w:space="0"/>
              <w:right w:val="single" w:color="auto" w:sz="4" w:space="0"/>
            </w:tcBorders>
            <w:textDirection w:val="tbRlV"/>
            <w:vAlign w:val="center"/>
          </w:tcPr>
          <w:p w14:paraId="6DC167DB">
            <w:pPr>
              <w:pStyle w:val="10"/>
              <w:spacing w:after="0" w:line="240" w:lineRule="exact"/>
              <w:jc w:val="center"/>
              <w:rPr>
                <w:rFonts w:hint="eastAsia"/>
                <w:color w:val="030303"/>
                <w:lang w:eastAsia="zh-CN"/>
              </w:rPr>
            </w:pPr>
            <w:r>
              <w:rPr>
                <w:rFonts w:hint="eastAsia"/>
                <w:color w:val="030303"/>
                <w:lang w:eastAsia="zh-CN"/>
              </w:rPr>
              <w:t>签 约 产 品</w:t>
            </w:r>
          </w:p>
        </w:tc>
        <w:tc>
          <w:tcPr>
            <w:tcW w:w="9529" w:type="dxa"/>
            <w:gridSpan w:val="5"/>
            <w:tcBorders>
              <w:top w:val="single" w:color="auto" w:sz="4" w:space="0"/>
              <w:left w:val="single" w:color="auto" w:sz="4" w:space="0"/>
            </w:tcBorders>
            <w:vAlign w:val="center"/>
          </w:tcPr>
          <w:p w14:paraId="2FBA1CEB">
            <w:pPr>
              <w:pStyle w:val="10"/>
              <w:spacing w:after="0" w:line="276" w:lineRule="auto"/>
              <w:ind w:right="101" w:firstLine="416" w:firstLineChars="200"/>
              <w:rPr>
                <w:rFonts w:hint="eastAsia"/>
                <w:color w:val="030303"/>
                <w:spacing w:val="-1"/>
                <w:lang w:eastAsia="zh-CN"/>
              </w:rPr>
            </w:pPr>
            <w:r>
              <w:rPr>
                <w:rFonts w:hint="eastAsia"/>
                <w:color w:val="030303"/>
                <w:spacing w:val="-1"/>
                <w:lang w:eastAsia="zh-CN"/>
              </w:rPr>
              <w:t>银行卡收单（贷记卡）：</w:t>
            </w:r>
            <w:r>
              <w:rPr>
                <w:rFonts w:hint="eastAsia"/>
                <w:color w:val="030303"/>
                <w:spacing w:val="-1"/>
                <w:u w:val="single"/>
                <w:lang w:eastAsia="zh-CN"/>
              </w:rPr>
              <w:t xml:space="preserve">  </w:t>
            </w:r>
            <w:r>
              <w:rPr>
                <w:rFonts w:hint="eastAsia"/>
                <w:color w:val="030303"/>
                <w:spacing w:val="-1"/>
                <w:u w:val="single"/>
                <w:lang w:val="en-US" w:eastAsia="zh-CN"/>
              </w:rPr>
              <w:t xml:space="preserve">  </w:t>
            </w:r>
            <w:r>
              <w:rPr>
                <w:rFonts w:hint="eastAsia"/>
                <w:color w:val="030303"/>
                <w:spacing w:val="-1"/>
                <w:u w:val="single"/>
                <w:lang w:eastAsia="zh-CN"/>
              </w:rPr>
              <w:t xml:space="preserve">  </w:t>
            </w:r>
            <w:r>
              <w:rPr>
                <w:rFonts w:hint="eastAsia"/>
                <w:color w:val="030303"/>
                <w:spacing w:val="-1"/>
                <w:lang w:eastAsia="zh-CN"/>
              </w:rPr>
              <w:t xml:space="preserve">%         </w:t>
            </w:r>
            <w:r>
              <w:rPr>
                <w:rFonts w:hint="eastAsia"/>
                <w:color w:val="030303"/>
                <w:spacing w:val="-1"/>
                <w:lang w:val="en-US" w:eastAsia="zh-CN"/>
              </w:rPr>
              <w:t xml:space="preserve">    </w:t>
            </w:r>
            <w:r>
              <w:rPr>
                <w:rFonts w:hint="eastAsia"/>
                <w:color w:val="030303"/>
                <w:spacing w:val="-1"/>
                <w:lang w:eastAsia="zh-CN"/>
              </w:rPr>
              <w:t>微信扫码 ：</w:t>
            </w:r>
            <w:r>
              <w:rPr>
                <w:rFonts w:hint="eastAsia"/>
                <w:color w:val="030303"/>
                <w:spacing w:val="-1"/>
                <w:u w:val="single"/>
                <w:lang w:eastAsia="zh-CN"/>
              </w:rPr>
              <w:t xml:space="preserve">   </w:t>
            </w:r>
            <w:r>
              <w:rPr>
                <w:rFonts w:hint="eastAsia"/>
                <w:color w:val="030303"/>
                <w:spacing w:val="-1"/>
                <w:u w:val="single"/>
                <w:lang w:val="en-US" w:eastAsia="zh-CN"/>
              </w:rPr>
              <w:t xml:space="preserve">  </w:t>
            </w:r>
            <w:r>
              <w:rPr>
                <w:rFonts w:hint="eastAsia"/>
                <w:color w:val="030303"/>
                <w:spacing w:val="-1"/>
                <w:u w:val="single"/>
                <w:lang w:eastAsia="zh-CN"/>
              </w:rPr>
              <w:t xml:space="preserve">    </w:t>
            </w:r>
            <w:r>
              <w:rPr>
                <w:rFonts w:hint="eastAsia"/>
                <w:color w:val="030303"/>
                <w:spacing w:val="-1"/>
                <w:lang w:eastAsia="zh-CN"/>
              </w:rPr>
              <w:t>%</w:t>
            </w:r>
          </w:p>
          <w:p w14:paraId="11F42DA1">
            <w:pPr>
              <w:pStyle w:val="10"/>
              <w:spacing w:after="0" w:line="276" w:lineRule="auto"/>
              <w:ind w:right="101" w:firstLine="416" w:firstLineChars="200"/>
              <w:rPr>
                <w:rFonts w:hint="eastAsia"/>
                <w:color w:val="030303"/>
                <w:spacing w:val="-1"/>
                <w:lang w:eastAsia="zh-CN"/>
              </w:rPr>
            </w:pPr>
            <w:r>
              <w:rPr>
                <w:rFonts w:hint="eastAsia"/>
                <w:color w:val="030303"/>
                <w:spacing w:val="-1"/>
                <w:lang w:eastAsia="zh-CN"/>
              </w:rPr>
              <w:t>银行卡收单（借记卡）：</w:t>
            </w:r>
            <w:r>
              <w:rPr>
                <w:rFonts w:hint="eastAsia"/>
                <w:color w:val="030303"/>
                <w:spacing w:val="-1"/>
                <w:u w:val="single"/>
                <w:lang w:eastAsia="zh-CN"/>
              </w:rPr>
              <w:t xml:space="preserve"> </w:t>
            </w:r>
            <w:r>
              <w:rPr>
                <w:rFonts w:hint="eastAsia"/>
                <w:color w:val="030303"/>
                <w:spacing w:val="-1"/>
                <w:u w:val="single"/>
                <w:lang w:val="en-US" w:eastAsia="zh-CN"/>
              </w:rPr>
              <w:t xml:space="preserve">  </w:t>
            </w:r>
            <w:r>
              <w:rPr>
                <w:rFonts w:hint="eastAsia"/>
                <w:color w:val="030303"/>
                <w:spacing w:val="-1"/>
                <w:u w:val="single"/>
                <w:lang w:eastAsia="zh-CN"/>
              </w:rPr>
              <w:t xml:space="preserve"> </w:t>
            </w:r>
            <w:r>
              <w:rPr>
                <w:rFonts w:hint="eastAsia"/>
                <w:color w:val="030303"/>
                <w:spacing w:val="-1"/>
                <w:lang w:eastAsia="zh-CN"/>
              </w:rPr>
              <w:t xml:space="preserve">% </w:t>
            </w:r>
            <w:r>
              <w:rPr>
                <w:rFonts w:hint="eastAsia"/>
                <w:color w:val="030303"/>
                <w:spacing w:val="-1"/>
                <w:lang w:val="en-US" w:eastAsia="zh-CN"/>
              </w:rPr>
              <w:t>封顶：</w:t>
            </w:r>
            <w:r>
              <w:rPr>
                <w:rFonts w:hint="eastAsia"/>
                <w:color w:val="030303"/>
                <w:spacing w:val="-1"/>
                <w:u w:val="single"/>
                <w:lang w:val="en-US" w:eastAsia="zh-CN"/>
              </w:rPr>
              <w:t xml:space="preserve">   </w:t>
            </w:r>
            <w:r>
              <w:rPr>
                <w:rFonts w:hint="eastAsia"/>
                <w:color w:val="030303"/>
                <w:spacing w:val="-1"/>
                <w:u w:val="none"/>
                <w:lang w:val="en-US" w:eastAsia="zh-CN"/>
              </w:rPr>
              <w:t>元</w:t>
            </w:r>
            <w:r>
              <w:rPr>
                <w:rFonts w:hint="eastAsia"/>
                <w:color w:val="030303"/>
                <w:spacing w:val="-1"/>
                <w:lang w:eastAsia="zh-CN"/>
              </w:rPr>
              <w:t xml:space="preserve">   支付宝扫码：</w:t>
            </w:r>
            <w:r>
              <w:rPr>
                <w:rFonts w:hint="eastAsia"/>
                <w:color w:val="030303"/>
                <w:spacing w:val="-1"/>
                <w:u w:val="single"/>
                <w:lang w:eastAsia="zh-CN"/>
              </w:rPr>
              <w:t xml:space="preserve">  </w:t>
            </w:r>
            <w:r>
              <w:rPr>
                <w:rFonts w:hint="eastAsia"/>
                <w:color w:val="030303"/>
                <w:spacing w:val="-1"/>
                <w:u w:val="single"/>
                <w:lang w:val="en-US" w:eastAsia="zh-CN"/>
              </w:rPr>
              <w:t xml:space="preserve">  </w:t>
            </w:r>
            <w:r>
              <w:rPr>
                <w:rFonts w:hint="eastAsia"/>
                <w:color w:val="030303"/>
                <w:spacing w:val="-1"/>
                <w:u w:val="single"/>
                <w:lang w:eastAsia="zh-CN"/>
              </w:rPr>
              <w:t xml:space="preserve">    </w:t>
            </w:r>
            <w:r>
              <w:rPr>
                <w:rFonts w:hint="eastAsia"/>
                <w:color w:val="030303"/>
                <w:spacing w:val="-1"/>
                <w:lang w:eastAsia="zh-CN"/>
              </w:rPr>
              <w:t xml:space="preserve">% </w:t>
            </w:r>
          </w:p>
          <w:p w14:paraId="5FDD7103">
            <w:pPr>
              <w:pStyle w:val="10"/>
              <w:spacing w:after="0" w:line="276" w:lineRule="auto"/>
              <w:ind w:right="101" w:firstLine="416" w:firstLineChars="200"/>
              <w:rPr>
                <w:rFonts w:hint="eastAsia"/>
                <w:color w:val="030303"/>
                <w:spacing w:val="-1"/>
                <w:lang w:eastAsia="zh-CN"/>
              </w:rPr>
            </w:pPr>
            <w:r>
              <w:rPr>
                <w:rFonts w:hint="eastAsia"/>
                <w:color w:val="030303"/>
                <w:spacing w:val="-1"/>
                <w:lang w:eastAsia="zh-CN"/>
              </w:rPr>
              <w:t>银联云闪付：</w:t>
            </w:r>
            <w:r>
              <w:rPr>
                <w:rFonts w:hint="eastAsia"/>
                <w:color w:val="030303"/>
                <w:spacing w:val="-1"/>
                <w:u w:val="single"/>
                <w:lang w:eastAsia="zh-CN"/>
              </w:rPr>
              <w:t xml:space="preserve">   </w:t>
            </w:r>
            <w:r>
              <w:rPr>
                <w:rFonts w:hint="eastAsia"/>
                <w:color w:val="030303"/>
                <w:spacing w:val="-1"/>
                <w:u w:val="single"/>
                <w:lang w:val="en-US" w:eastAsia="zh-CN"/>
              </w:rPr>
              <w:t xml:space="preserve">   </w:t>
            </w:r>
            <w:r>
              <w:rPr>
                <w:rFonts w:hint="eastAsia"/>
                <w:color w:val="030303"/>
                <w:spacing w:val="-1"/>
                <w:u w:val="single"/>
                <w:lang w:eastAsia="zh-CN"/>
              </w:rPr>
              <w:t xml:space="preserve">  </w:t>
            </w:r>
            <w:r>
              <w:rPr>
                <w:rFonts w:hint="eastAsia"/>
                <w:color w:val="030303"/>
                <w:spacing w:val="-1"/>
                <w:lang w:eastAsia="zh-CN"/>
              </w:rPr>
              <w:t xml:space="preserve">%           </w:t>
            </w:r>
            <w:bookmarkStart w:id="0" w:name="_GoBack"/>
            <w:bookmarkEnd w:id="0"/>
            <w:r>
              <w:rPr>
                <w:rFonts w:hint="eastAsia"/>
                <w:color w:val="030303"/>
                <w:spacing w:val="-1"/>
                <w:lang w:eastAsia="zh-CN"/>
              </w:rPr>
              <w:t xml:space="preserve">      </w:t>
            </w:r>
            <w:r>
              <w:rPr>
                <w:rFonts w:hint="eastAsia"/>
                <w:color w:val="030303"/>
                <w:spacing w:val="-1"/>
                <w:lang w:val="en-US" w:eastAsia="zh-CN"/>
              </w:rPr>
              <w:t xml:space="preserve">   </w:t>
            </w:r>
            <w:r>
              <w:rPr>
                <w:rFonts w:hint="eastAsia"/>
                <w:color w:val="030303"/>
                <w:spacing w:val="-1"/>
                <w:lang w:eastAsia="zh-CN"/>
              </w:rPr>
              <w:t>其他：D0：</w:t>
            </w:r>
            <w:r>
              <w:rPr>
                <w:rFonts w:hint="eastAsia"/>
                <w:color w:val="030303"/>
                <w:spacing w:val="-1"/>
                <w:u w:val="single"/>
                <w:lang w:eastAsia="zh-CN"/>
              </w:rPr>
              <w:t xml:space="preserve">   </w:t>
            </w:r>
            <w:r>
              <w:rPr>
                <w:rFonts w:hint="eastAsia"/>
                <w:color w:val="030303"/>
                <w:spacing w:val="-1"/>
                <w:u w:val="single"/>
                <w:lang w:val="en-US" w:eastAsia="zh-CN"/>
              </w:rPr>
              <w:t xml:space="preserve">   </w:t>
            </w:r>
            <w:r>
              <w:rPr>
                <w:rFonts w:hint="eastAsia"/>
                <w:color w:val="030303"/>
                <w:spacing w:val="-1"/>
                <w:u w:val="single"/>
                <w:lang w:eastAsia="zh-CN"/>
              </w:rPr>
              <w:t xml:space="preserve">  </w:t>
            </w:r>
            <w:r>
              <w:rPr>
                <w:rFonts w:hint="eastAsia"/>
                <w:color w:val="030303"/>
                <w:spacing w:val="-1"/>
                <w:u w:val="single"/>
                <w:lang w:val="en-US" w:eastAsia="zh-CN"/>
              </w:rPr>
              <w:t xml:space="preserve"> </w:t>
            </w:r>
            <w:r>
              <w:rPr>
                <w:rFonts w:hint="eastAsia"/>
                <w:color w:val="030303"/>
                <w:spacing w:val="-1"/>
                <w:u w:val="single"/>
                <w:lang w:eastAsia="zh-CN"/>
              </w:rPr>
              <w:t xml:space="preserve"> </w:t>
            </w:r>
            <w:r>
              <w:rPr>
                <w:rFonts w:hint="eastAsia"/>
                <w:color w:val="030303"/>
                <w:spacing w:val="-1"/>
                <w:lang w:eastAsia="zh-CN"/>
              </w:rPr>
              <w:t>%</w:t>
            </w:r>
          </w:p>
        </w:tc>
      </w:tr>
      <w:tr w14:paraId="6A8CC5A3">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574" w:hRule="atLeast"/>
        </w:trPr>
        <w:tc>
          <w:tcPr>
            <w:tcW w:w="560" w:type="dxa"/>
            <w:vMerge w:val="restart"/>
            <w:tcBorders>
              <w:top w:val="single" w:color="auto" w:sz="4" w:space="0"/>
              <w:bottom w:val="single" w:color="auto" w:sz="4" w:space="0"/>
            </w:tcBorders>
            <w:textDirection w:val="tbRlV"/>
            <w:vAlign w:val="center"/>
          </w:tcPr>
          <w:p w14:paraId="7C6C0507">
            <w:pPr>
              <w:pStyle w:val="10"/>
              <w:spacing w:after="0" w:line="240" w:lineRule="exact"/>
              <w:jc w:val="center"/>
              <w:rPr>
                <w:rFonts w:hint="eastAsia"/>
              </w:rPr>
            </w:pPr>
            <w:r>
              <w:rPr>
                <w:color w:val="030303"/>
              </w:rPr>
              <w:t>终 端 安</w:t>
            </w:r>
            <w:r>
              <w:rPr>
                <w:color w:val="030303"/>
                <w:spacing w:val="-4"/>
              </w:rPr>
              <w:t xml:space="preserve"> </w:t>
            </w:r>
            <w:r>
              <w:rPr>
                <w:color w:val="030303"/>
              </w:rPr>
              <w:t>装</w:t>
            </w:r>
            <w:r>
              <w:rPr>
                <w:color w:val="030303"/>
                <w:spacing w:val="-5"/>
              </w:rPr>
              <w:t xml:space="preserve"> </w:t>
            </w:r>
            <w:r>
              <w:rPr>
                <w:color w:val="030303"/>
              </w:rPr>
              <w:t>信</w:t>
            </w:r>
            <w:r>
              <w:rPr>
                <w:color w:val="030303"/>
                <w:spacing w:val="-5"/>
              </w:rPr>
              <w:t xml:space="preserve"> </w:t>
            </w:r>
            <w:r>
              <w:rPr>
                <w:color w:val="030303"/>
              </w:rPr>
              <w:t>息</w:t>
            </w:r>
          </w:p>
        </w:tc>
        <w:tc>
          <w:tcPr>
            <w:tcW w:w="1841" w:type="dxa"/>
            <w:vAlign w:val="center"/>
          </w:tcPr>
          <w:p w14:paraId="5709EB75">
            <w:pPr>
              <w:pStyle w:val="10"/>
              <w:spacing w:after="0" w:line="240" w:lineRule="exact"/>
              <w:jc w:val="center"/>
              <w:rPr>
                <w:rFonts w:hint="eastAsia"/>
                <w:lang w:eastAsia="zh-CN"/>
              </w:rPr>
            </w:pPr>
            <w:r>
              <w:rPr>
                <w:color w:val="030303"/>
                <w:spacing w:val="-2"/>
              </w:rPr>
              <w:t>终端布放地址</w:t>
            </w:r>
          </w:p>
        </w:tc>
        <w:tc>
          <w:tcPr>
            <w:tcW w:w="4400" w:type="dxa"/>
            <w:gridSpan w:val="2"/>
            <w:vAlign w:val="center"/>
          </w:tcPr>
          <w:p w14:paraId="329AC28B">
            <w:pPr>
              <w:spacing w:after="0" w:line="240" w:lineRule="exact"/>
              <w:jc w:val="both"/>
              <w:rPr>
                <w:rFonts w:hint="eastAsia" w:ascii="Arial"/>
                <w:sz w:val="21"/>
              </w:rPr>
            </w:pPr>
          </w:p>
        </w:tc>
        <w:tc>
          <w:tcPr>
            <w:tcW w:w="1129" w:type="dxa"/>
            <w:vAlign w:val="center"/>
          </w:tcPr>
          <w:p w14:paraId="76261C92">
            <w:pPr>
              <w:pStyle w:val="10"/>
              <w:spacing w:after="0" w:line="240" w:lineRule="exact"/>
              <w:ind w:left="223"/>
              <w:jc w:val="both"/>
              <w:rPr>
                <w:rFonts w:hint="eastAsia"/>
                <w:lang w:eastAsia="zh-CN"/>
              </w:rPr>
            </w:pPr>
            <w:r>
              <w:rPr>
                <w:rFonts w:hint="eastAsia"/>
                <w:color w:val="030303"/>
                <w:spacing w:val="-5"/>
                <w:lang w:eastAsia="zh-CN"/>
              </w:rPr>
              <w:t>联系方式</w:t>
            </w:r>
          </w:p>
        </w:tc>
        <w:tc>
          <w:tcPr>
            <w:tcW w:w="2159" w:type="dxa"/>
            <w:vAlign w:val="center"/>
          </w:tcPr>
          <w:p w14:paraId="2F22F138">
            <w:pPr>
              <w:spacing w:after="0" w:line="240" w:lineRule="exact"/>
              <w:jc w:val="both"/>
              <w:rPr>
                <w:rFonts w:hint="eastAsia" w:ascii="Arial"/>
                <w:sz w:val="21"/>
              </w:rPr>
            </w:pPr>
          </w:p>
        </w:tc>
      </w:tr>
      <w:tr w14:paraId="68148467">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554" w:hRule="atLeast"/>
        </w:trPr>
        <w:tc>
          <w:tcPr>
            <w:tcW w:w="560" w:type="dxa"/>
            <w:vMerge w:val="continue"/>
            <w:tcBorders>
              <w:top w:val="single" w:color="auto" w:sz="4" w:space="0"/>
              <w:bottom w:val="single" w:color="auto" w:sz="4" w:space="0"/>
            </w:tcBorders>
            <w:textDirection w:val="tbRlV"/>
            <w:vAlign w:val="center"/>
          </w:tcPr>
          <w:p w14:paraId="3586E551">
            <w:pPr>
              <w:spacing w:after="0" w:line="240" w:lineRule="exact"/>
              <w:jc w:val="both"/>
              <w:rPr>
                <w:rFonts w:hint="eastAsia" w:ascii="Arial"/>
                <w:sz w:val="21"/>
              </w:rPr>
            </w:pPr>
          </w:p>
        </w:tc>
        <w:tc>
          <w:tcPr>
            <w:tcW w:w="1841" w:type="dxa"/>
            <w:vAlign w:val="center"/>
          </w:tcPr>
          <w:p w14:paraId="13182BDF">
            <w:pPr>
              <w:pStyle w:val="10"/>
              <w:spacing w:after="0" w:line="240" w:lineRule="exact"/>
              <w:jc w:val="center"/>
              <w:rPr>
                <w:rFonts w:hint="eastAsia"/>
              </w:rPr>
            </w:pPr>
            <w:r>
              <w:rPr>
                <w:color w:val="030303"/>
                <w:spacing w:val="-2"/>
              </w:rPr>
              <w:t>终端布放地址</w:t>
            </w:r>
          </w:p>
        </w:tc>
        <w:tc>
          <w:tcPr>
            <w:tcW w:w="4400" w:type="dxa"/>
            <w:gridSpan w:val="2"/>
            <w:vAlign w:val="center"/>
          </w:tcPr>
          <w:p w14:paraId="2157BC84">
            <w:pPr>
              <w:spacing w:after="0" w:line="240" w:lineRule="exact"/>
              <w:jc w:val="both"/>
              <w:rPr>
                <w:rFonts w:hint="eastAsia" w:ascii="Arial"/>
                <w:sz w:val="21"/>
              </w:rPr>
            </w:pPr>
          </w:p>
        </w:tc>
        <w:tc>
          <w:tcPr>
            <w:tcW w:w="1129" w:type="dxa"/>
            <w:vAlign w:val="center"/>
          </w:tcPr>
          <w:p w14:paraId="3DE7D7C4">
            <w:pPr>
              <w:pStyle w:val="10"/>
              <w:spacing w:after="0" w:line="240" w:lineRule="exact"/>
              <w:ind w:left="223"/>
              <w:jc w:val="both"/>
              <w:rPr>
                <w:rFonts w:hint="eastAsia"/>
              </w:rPr>
            </w:pPr>
            <w:r>
              <w:rPr>
                <w:rFonts w:hint="eastAsia"/>
                <w:color w:val="030303"/>
                <w:spacing w:val="-5"/>
                <w:lang w:eastAsia="zh-CN"/>
              </w:rPr>
              <w:t>联系方式</w:t>
            </w:r>
          </w:p>
        </w:tc>
        <w:tc>
          <w:tcPr>
            <w:tcW w:w="2159" w:type="dxa"/>
            <w:vAlign w:val="center"/>
          </w:tcPr>
          <w:p w14:paraId="024D3C72">
            <w:pPr>
              <w:spacing w:after="0" w:line="240" w:lineRule="exact"/>
              <w:jc w:val="both"/>
              <w:rPr>
                <w:rFonts w:hint="eastAsia" w:ascii="Arial"/>
                <w:sz w:val="21"/>
              </w:rPr>
            </w:pPr>
          </w:p>
        </w:tc>
      </w:tr>
      <w:tr w14:paraId="464FF6D0">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562" w:hRule="atLeast"/>
        </w:trPr>
        <w:tc>
          <w:tcPr>
            <w:tcW w:w="560" w:type="dxa"/>
            <w:vMerge w:val="continue"/>
            <w:tcBorders>
              <w:top w:val="single" w:color="auto" w:sz="4" w:space="0"/>
              <w:bottom w:val="single" w:color="auto" w:sz="4" w:space="0"/>
            </w:tcBorders>
            <w:textDirection w:val="tbRlV"/>
            <w:vAlign w:val="center"/>
          </w:tcPr>
          <w:p w14:paraId="76285CF3">
            <w:pPr>
              <w:spacing w:after="0" w:line="240" w:lineRule="exact"/>
              <w:jc w:val="both"/>
              <w:rPr>
                <w:rFonts w:hint="eastAsia" w:ascii="Arial"/>
                <w:sz w:val="21"/>
              </w:rPr>
            </w:pPr>
          </w:p>
        </w:tc>
        <w:tc>
          <w:tcPr>
            <w:tcW w:w="1841" w:type="dxa"/>
            <w:vAlign w:val="center"/>
          </w:tcPr>
          <w:p w14:paraId="0582DEF3">
            <w:pPr>
              <w:pStyle w:val="10"/>
              <w:spacing w:after="0" w:line="240" w:lineRule="exact"/>
              <w:jc w:val="center"/>
              <w:rPr>
                <w:rFonts w:hint="eastAsia"/>
              </w:rPr>
            </w:pPr>
            <w:r>
              <w:rPr>
                <w:color w:val="030303"/>
                <w:spacing w:val="-2"/>
              </w:rPr>
              <w:t>终端布放地址</w:t>
            </w:r>
          </w:p>
        </w:tc>
        <w:tc>
          <w:tcPr>
            <w:tcW w:w="4400" w:type="dxa"/>
            <w:gridSpan w:val="2"/>
            <w:vAlign w:val="center"/>
          </w:tcPr>
          <w:p w14:paraId="08AFCFBF">
            <w:pPr>
              <w:spacing w:after="0" w:line="240" w:lineRule="exact"/>
              <w:jc w:val="both"/>
              <w:rPr>
                <w:rFonts w:hint="eastAsia" w:ascii="Arial"/>
                <w:sz w:val="21"/>
              </w:rPr>
            </w:pPr>
          </w:p>
        </w:tc>
        <w:tc>
          <w:tcPr>
            <w:tcW w:w="1129" w:type="dxa"/>
            <w:vAlign w:val="center"/>
          </w:tcPr>
          <w:p w14:paraId="5BC18017">
            <w:pPr>
              <w:pStyle w:val="10"/>
              <w:spacing w:after="0" w:line="240" w:lineRule="exact"/>
              <w:ind w:left="223"/>
              <w:jc w:val="both"/>
              <w:rPr>
                <w:rFonts w:hint="eastAsia"/>
              </w:rPr>
            </w:pPr>
            <w:r>
              <w:rPr>
                <w:rFonts w:hint="eastAsia"/>
                <w:color w:val="030303"/>
                <w:spacing w:val="-5"/>
                <w:lang w:eastAsia="zh-CN"/>
              </w:rPr>
              <w:t>联系方式</w:t>
            </w:r>
          </w:p>
        </w:tc>
        <w:tc>
          <w:tcPr>
            <w:tcW w:w="2159" w:type="dxa"/>
            <w:vAlign w:val="center"/>
          </w:tcPr>
          <w:p w14:paraId="295BEAEB">
            <w:pPr>
              <w:spacing w:after="0" w:line="240" w:lineRule="exact"/>
              <w:jc w:val="both"/>
              <w:rPr>
                <w:rFonts w:hint="eastAsia" w:ascii="Arial"/>
                <w:sz w:val="21"/>
              </w:rPr>
            </w:pPr>
          </w:p>
        </w:tc>
      </w:tr>
      <w:tr w14:paraId="29AD6745">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556" w:hRule="atLeast"/>
        </w:trPr>
        <w:tc>
          <w:tcPr>
            <w:tcW w:w="560" w:type="dxa"/>
            <w:vMerge w:val="continue"/>
            <w:tcBorders>
              <w:top w:val="single" w:color="auto" w:sz="4" w:space="0"/>
              <w:bottom w:val="single" w:color="auto" w:sz="4" w:space="0"/>
            </w:tcBorders>
            <w:textDirection w:val="tbRlV"/>
            <w:vAlign w:val="center"/>
          </w:tcPr>
          <w:p w14:paraId="4AF44D96">
            <w:pPr>
              <w:spacing w:after="0" w:line="240" w:lineRule="exact"/>
              <w:jc w:val="both"/>
              <w:rPr>
                <w:rFonts w:hint="eastAsia" w:ascii="Arial"/>
                <w:sz w:val="21"/>
              </w:rPr>
            </w:pPr>
          </w:p>
        </w:tc>
        <w:tc>
          <w:tcPr>
            <w:tcW w:w="1841" w:type="dxa"/>
            <w:vAlign w:val="center"/>
          </w:tcPr>
          <w:p w14:paraId="19514FCE">
            <w:pPr>
              <w:pStyle w:val="10"/>
              <w:spacing w:after="0" w:line="240" w:lineRule="exact"/>
              <w:jc w:val="center"/>
              <w:rPr>
                <w:color w:val="030303"/>
                <w:spacing w:val="-2"/>
              </w:rPr>
            </w:pPr>
            <w:r>
              <w:rPr>
                <w:color w:val="030303"/>
                <w:spacing w:val="-2"/>
              </w:rPr>
              <w:t>终端布放地址</w:t>
            </w:r>
          </w:p>
        </w:tc>
        <w:tc>
          <w:tcPr>
            <w:tcW w:w="4400" w:type="dxa"/>
            <w:gridSpan w:val="2"/>
            <w:vAlign w:val="center"/>
          </w:tcPr>
          <w:p w14:paraId="5F6F6348">
            <w:pPr>
              <w:spacing w:after="0" w:line="240" w:lineRule="exact"/>
              <w:jc w:val="both"/>
              <w:rPr>
                <w:rFonts w:hint="eastAsia" w:ascii="Arial"/>
                <w:sz w:val="21"/>
              </w:rPr>
            </w:pPr>
          </w:p>
        </w:tc>
        <w:tc>
          <w:tcPr>
            <w:tcW w:w="1129" w:type="dxa"/>
            <w:vAlign w:val="center"/>
          </w:tcPr>
          <w:p w14:paraId="4F40AC01">
            <w:pPr>
              <w:pStyle w:val="10"/>
              <w:spacing w:after="0" w:line="240" w:lineRule="exact"/>
              <w:ind w:left="223"/>
              <w:jc w:val="both"/>
              <w:rPr>
                <w:rFonts w:hint="eastAsia"/>
                <w:color w:val="030303"/>
                <w:spacing w:val="-5"/>
                <w:lang w:eastAsia="zh-CN"/>
              </w:rPr>
            </w:pPr>
            <w:r>
              <w:rPr>
                <w:rFonts w:hint="eastAsia"/>
                <w:color w:val="030303"/>
                <w:spacing w:val="-5"/>
                <w:lang w:eastAsia="zh-CN"/>
              </w:rPr>
              <w:t>联系方式</w:t>
            </w:r>
          </w:p>
        </w:tc>
        <w:tc>
          <w:tcPr>
            <w:tcW w:w="2159" w:type="dxa"/>
            <w:vAlign w:val="center"/>
          </w:tcPr>
          <w:p w14:paraId="7F137CF3">
            <w:pPr>
              <w:spacing w:after="0" w:line="240" w:lineRule="exact"/>
              <w:jc w:val="both"/>
              <w:rPr>
                <w:rFonts w:hint="eastAsia" w:ascii="Arial"/>
                <w:sz w:val="21"/>
              </w:rPr>
            </w:pPr>
          </w:p>
        </w:tc>
      </w:tr>
      <w:tr w14:paraId="79C658C8">
        <w:tblPrEx>
          <w:tblBorders>
            <w:top w:val="single" w:color="030303" w:sz="2" w:space="0"/>
            <w:left w:val="single" w:color="030303" w:sz="2" w:space="0"/>
            <w:bottom w:val="single" w:color="030303" w:sz="2" w:space="0"/>
            <w:right w:val="single" w:color="030303" w:sz="2" w:space="0"/>
            <w:insideH w:val="single" w:color="030303" w:sz="2" w:space="0"/>
            <w:insideV w:val="single" w:color="030303" w:sz="2" w:space="0"/>
          </w:tblBorders>
          <w:tblCellMar>
            <w:top w:w="0" w:type="dxa"/>
            <w:left w:w="0" w:type="dxa"/>
            <w:bottom w:w="0" w:type="dxa"/>
            <w:right w:w="0" w:type="dxa"/>
          </w:tblCellMar>
        </w:tblPrEx>
        <w:trPr>
          <w:trHeight w:val="1670" w:hRule="atLeast"/>
        </w:trPr>
        <w:tc>
          <w:tcPr>
            <w:tcW w:w="10089" w:type="dxa"/>
            <w:gridSpan w:val="6"/>
            <w:tcBorders>
              <w:top w:val="single" w:color="auto" w:sz="4" w:space="0"/>
              <w:bottom w:val="single" w:color="auto" w:sz="4" w:space="0"/>
            </w:tcBorders>
          </w:tcPr>
          <w:p w14:paraId="1BCD4B17">
            <w:pPr>
              <w:spacing w:after="0" w:line="240" w:lineRule="exact"/>
              <w:jc w:val="both"/>
              <w:rPr>
                <w:color w:val="030303"/>
                <w:spacing w:val="-1"/>
              </w:rPr>
            </w:pPr>
          </w:p>
          <w:p w14:paraId="671CFF9D">
            <w:pPr>
              <w:spacing w:after="0" w:line="240" w:lineRule="exact"/>
              <w:jc w:val="both"/>
              <w:rPr>
                <w:rFonts w:hint="eastAsia" w:eastAsia="宋体"/>
                <w:sz w:val="21"/>
              </w:rPr>
            </w:pPr>
            <w:r>
              <w:rPr>
                <w:color w:val="030303"/>
                <w:spacing w:val="-1"/>
              </w:rPr>
              <w:t>郑重承诺：</w:t>
            </w:r>
            <w:r>
              <w:rPr>
                <w:rFonts w:hint="eastAsia"/>
                <w:color w:val="030303"/>
                <w:spacing w:val="-1"/>
              </w:rPr>
              <w:t>我司填写相关信息真实、有效，如有虚假承担一切法律后果。</w:t>
            </w:r>
          </w:p>
          <w:p w14:paraId="5DA889D2">
            <w:pPr>
              <w:spacing w:after="0" w:line="276" w:lineRule="auto"/>
              <w:ind w:left="6600" w:leftChars="3000" w:firstLine="420" w:firstLineChars="200"/>
              <w:jc w:val="both"/>
              <w:rPr>
                <w:rFonts w:eastAsia="宋体"/>
                <w:sz w:val="21"/>
              </w:rPr>
            </w:pPr>
          </w:p>
          <w:p w14:paraId="7D3673D6">
            <w:pPr>
              <w:spacing w:after="0" w:line="276" w:lineRule="auto"/>
              <w:ind w:left="6600" w:leftChars="3000" w:firstLine="422" w:firstLineChars="200"/>
              <w:jc w:val="both"/>
              <w:rPr>
                <w:rFonts w:hint="eastAsia" w:eastAsia="宋体"/>
                <w:b/>
                <w:bCs/>
                <w:sz w:val="21"/>
              </w:rPr>
            </w:pPr>
            <w:r>
              <w:rPr>
                <w:rFonts w:hint="eastAsia" w:eastAsia="宋体"/>
                <w:b/>
                <w:bCs/>
                <w:sz w:val="21"/>
              </w:rPr>
              <w:t>盖章：</w:t>
            </w:r>
          </w:p>
          <w:p w14:paraId="2D06D281">
            <w:pPr>
              <w:spacing w:after="0" w:line="276" w:lineRule="auto"/>
              <w:ind w:left="6600" w:leftChars="3000" w:firstLine="422" w:firstLineChars="200"/>
              <w:jc w:val="both"/>
              <w:rPr>
                <w:rFonts w:hint="eastAsia" w:eastAsia="宋体"/>
                <w:sz w:val="21"/>
              </w:rPr>
            </w:pPr>
            <w:r>
              <w:rPr>
                <w:rFonts w:hint="eastAsia" w:eastAsia="宋体"/>
                <w:b/>
                <w:bCs/>
                <w:sz w:val="21"/>
              </w:rPr>
              <w:t>日期：</w:t>
            </w:r>
          </w:p>
        </w:tc>
      </w:tr>
    </w:tbl>
    <w:p w14:paraId="34B8C0BD">
      <w:pPr>
        <w:spacing w:after="0" w:line="240" w:lineRule="exact"/>
        <w:rPr>
          <w:rFonts w:hint="eastAsia"/>
          <w:sz w:val="11"/>
          <w:szCs w:val="13"/>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F495">
    <w:pPr>
      <w:pStyle w:val="2"/>
      <w:rPr>
        <w:rFonts w:hint="eastAsia"/>
      </w:rPr>
    </w:pPr>
    <w:r>
      <w:rPr>
        <w:rFonts w:hint="eastAsia"/>
      </w:rPr>
      <w:t>卡友支付服务有限公司          上海市闵行区申昆路1999号2号楼908         400-881-5516</w:t>
    </w:r>
  </w:p>
  <w:p w14:paraId="72DFDCAE">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88C30">
    <w:pPr>
      <w:pStyle w:val="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DA3B">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7156">
    <w:pPr>
      <w:pStyle w:val="3"/>
      <w:jc w:val="left"/>
      <w:rPr>
        <w:rFonts w:hint="eastAsia"/>
      </w:rPr>
    </w:pPr>
    <w:r>
      <w:drawing>
        <wp:inline distT="0" distB="0" distL="0" distR="0">
          <wp:extent cx="1566545" cy="236220"/>
          <wp:effectExtent l="0" t="0" r="0" b="0"/>
          <wp:docPr id="502137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3784"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054" cy="237716"/>
                  </a:xfrm>
                  <a:prstGeom prst="rect">
                    <a:avLst/>
                  </a:prstGeom>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C778">
    <w:pPr>
      <w:pStyle w:val="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66C6">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E22"/>
    <w:multiLevelType w:val="multilevel"/>
    <w:tmpl w:val="47D03E22"/>
    <w:lvl w:ilvl="0" w:tentative="0">
      <w:start w:val="1"/>
      <w:numFmt w:val="decimal"/>
      <w:lvlText w:val="%1、"/>
      <w:lvlJc w:val="left"/>
      <w:pPr>
        <w:ind w:left="800" w:hanging="36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2F"/>
    <w:rsid w:val="0001720A"/>
    <w:rsid w:val="00062854"/>
    <w:rsid w:val="0017718D"/>
    <w:rsid w:val="0019597F"/>
    <w:rsid w:val="00297853"/>
    <w:rsid w:val="002E2B0B"/>
    <w:rsid w:val="00384C1A"/>
    <w:rsid w:val="003D23D5"/>
    <w:rsid w:val="007E219B"/>
    <w:rsid w:val="00890E59"/>
    <w:rsid w:val="008D498D"/>
    <w:rsid w:val="0092309A"/>
    <w:rsid w:val="00940EF7"/>
    <w:rsid w:val="009469CE"/>
    <w:rsid w:val="00A2559C"/>
    <w:rsid w:val="00C53480"/>
    <w:rsid w:val="00CA5578"/>
    <w:rsid w:val="00DA5C2F"/>
    <w:rsid w:val="00E119B5"/>
    <w:rsid w:val="00F37F9A"/>
    <w:rsid w:val="00F546B3"/>
    <w:rsid w:val="063A171F"/>
    <w:rsid w:val="1FA40330"/>
    <w:rsid w:val="3B0A0BC7"/>
    <w:rsid w:val="44D83A4E"/>
    <w:rsid w:val="58B3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styleId="9">
    <w:name w:val="No Spacing"/>
    <w:qFormat/>
    <w:uiPriority w:val="1"/>
    <w:pPr>
      <w:widowControl w:val="0"/>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
    <w:name w:val="Table Text"/>
    <w:basedOn w:val="1"/>
    <w:semiHidden/>
    <w:qFormat/>
    <w:uiPriority w:val="0"/>
    <w:rPr>
      <w:rFonts w:ascii="宋体" w:hAnsi="宋体" w:eastAsia="宋体" w:cs="宋体"/>
      <w:sz w:val="21"/>
      <w:szCs w:val="21"/>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10177</Words>
  <Characters>10228</Characters>
  <Lines>76</Lines>
  <Paragraphs>21</Paragraphs>
  <TotalTime>27</TotalTime>
  <ScaleCrop>false</ScaleCrop>
  <LinksUpToDate>false</LinksUpToDate>
  <CharactersWithSpaces>10581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2025-01-07T08:18:00Z</dcterms:created>
  <dc:creator>zhenxiang zhu</dc:creator>
  <cp:lastModifiedBy>郑</cp:lastModifiedBy>
  <cp:lastPrinted>2025-01-07T08:58:00Z</cp:lastPrinted>
  <dcterms:modified xsi:type="dcterms:W3CDTF">2025-02-24T08:50:52Z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eyJoZGlkIjoiNWE0YmRiMzg2YTEwNWE2NzdkMTdlZTFiNzZkZWUyYTYiLCJ1c2VySWQiOiI5NTQ0NDQ5MzkifQ==</vt:lpwstr>
  </property>
  <property fmtid="{D5CDD505-2E9C-101B-9397-08002B2CF9AE}" pid="3" name="KSOProductBuildVer">
    <vt:lpwstr>2052-12.1.0.19302</vt:lpwstr>
  </property>
  <property fmtid="{D5CDD505-2E9C-101B-9397-08002B2CF9AE}" pid="4" name="ICV">
    <vt:lpwstr>3F3168F560A74ED99CF58DD6315FB508_12</vt:lpwstr>
  </property>
</Properties>
</file>